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A08F" w14:textId="016A6790" w:rsidR="003D63F7" w:rsidRDefault="00834401">
      <w:pPr>
        <w:textAlignment w:val="baseline"/>
        <w:rPr>
          <w:rFonts w:eastAsia="Times New Roman"/>
          <w:color w:val="000000"/>
          <w:sz w:val="24"/>
          <w:lang w:val="sv-SE"/>
        </w:rPr>
      </w:pPr>
      <w:r>
        <w:pict w14:anchorId="511ADD6F">
          <v:shapetype id="_x0000_t202" coordsize="21600,21600" o:spt="202" path="m,l,21600r21600,l21600,xe">
            <v:stroke joinstyle="miter"/>
            <v:path gradientshapeok="t" o:connecttype="rect"/>
          </v:shapetype>
          <v:shape id="_x0000_s1" type="#_x0000_t202" style="position:absolute;margin-left:99.1pt;margin-top:70.1pt;width:401pt;height:697.15pt;z-index:-251661312;mso-wrap-distance-left:0;mso-wrap-distance-right:0;mso-position-horizontal-relative:page;mso-position-vertical-relative:page" filled="f" stroked="f">
            <v:textbox inset="0,0,0,0">
              <w:txbxContent>
                <w:p w14:paraId="14EA216E" w14:textId="77777777" w:rsidR="003D63F7" w:rsidRDefault="00B40764">
                  <w:pPr>
                    <w:spacing w:before="2214" w:line="311" w:lineRule="exact"/>
                    <w:textAlignment w:val="baseline"/>
                    <w:rPr>
                      <w:rFonts w:ascii="Calibri" w:eastAsia="Calibri" w:hAnsi="Calibri"/>
                      <w:b/>
                      <w:color w:val="000000"/>
                      <w:sz w:val="30"/>
                      <w:lang w:val="sv-SE"/>
                    </w:rPr>
                  </w:pPr>
                  <w:r>
                    <w:rPr>
                      <w:rFonts w:ascii="Calibri" w:eastAsia="Calibri" w:hAnsi="Calibri"/>
                      <w:b/>
                      <w:color w:val="000000"/>
                      <w:sz w:val="30"/>
                      <w:lang w:val="sv-SE"/>
                    </w:rPr>
                    <w:t>Rutin för förlängd studietid</w:t>
                  </w:r>
                </w:p>
                <w:p w14:paraId="7511292D" w14:textId="69785FA7" w:rsidR="003D63F7" w:rsidRDefault="00B40764">
                  <w:pPr>
                    <w:spacing w:before="152" w:line="275" w:lineRule="exact"/>
                    <w:ind w:right="72"/>
                    <w:jc w:val="both"/>
                    <w:textAlignment w:val="baseline"/>
                    <w:rPr>
                      <w:rFonts w:eastAsia="Times New Roman"/>
                      <w:color w:val="000000"/>
                      <w:sz w:val="24"/>
                      <w:lang w:val="sv-SE"/>
                    </w:rPr>
                  </w:pPr>
                  <w:r>
                    <w:rPr>
                      <w:rFonts w:eastAsia="Times New Roman"/>
                      <w:color w:val="000000"/>
                      <w:sz w:val="24"/>
                      <w:lang w:val="sv-SE"/>
                    </w:rPr>
                    <w:t>I skollagstiftningen saknas reglering för att hemkom</w:t>
                  </w:r>
                  <w:r w:rsidR="000B3F00">
                    <w:rPr>
                      <w:rFonts w:eastAsia="Times New Roman"/>
                      <w:color w:val="000000"/>
                      <w:sz w:val="24"/>
                      <w:lang w:val="sv-SE"/>
                    </w:rPr>
                    <w:t>m</w:t>
                  </w:r>
                  <w:r>
                    <w:rPr>
                      <w:rFonts w:eastAsia="Times New Roman"/>
                      <w:color w:val="000000"/>
                      <w:sz w:val="24"/>
                      <w:lang w:val="sv-SE"/>
                    </w:rPr>
                    <w:t>unen ska ersätta mer än tre års studietid och i så fall hur kostnaden ska fördelas mellan skolhuvudman och hemkommun. Rutinerna syftar till att användas som styrdokument för ersättning för studier för elever folkbokförda i Huddinge kommun, oavsett vart de studerar.</w:t>
                  </w:r>
                </w:p>
                <w:p w14:paraId="2E658BFD" w14:textId="77777777" w:rsidR="003D63F7" w:rsidRDefault="00B40764">
                  <w:pPr>
                    <w:spacing w:before="226" w:line="264" w:lineRule="exact"/>
                    <w:textAlignment w:val="baseline"/>
                    <w:rPr>
                      <w:rFonts w:ascii="Calibri" w:eastAsia="Calibri" w:hAnsi="Calibri"/>
                      <w:b/>
                      <w:color w:val="000000"/>
                      <w:spacing w:val="-1"/>
                      <w:sz w:val="26"/>
                      <w:lang w:val="sv-SE"/>
                    </w:rPr>
                  </w:pPr>
                  <w:r>
                    <w:rPr>
                      <w:rFonts w:ascii="Calibri" w:eastAsia="Calibri" w:hAnsi="Calibri"/>
                      <w:b/>
                      <w:color w:val="000000"/>
                      <w:spacing w:val="-1"/>
                      <w:sz w:val="26"/>
                      <w:lang w:val="sv-SE"/>
                    </w:rPr>
                    <w:t>Bestämmelser</w:t>
                  </w:r>
                </w:p>
                <w:p w14:paraId="1E7CE73C" w14:textId="549C348F" w:rsidR="00123225" w:rsidRPr="00123225" w:rsidRDefault="00B40764">
                  <w:pPr>
                    <w:spacing w:before="27" w:line="275" w:lineRule="exact"/>
                    <w:ind w:right="72"/>
                    <w:jc w:val="both"/>
                    <w:textAlignment w:val="baseline"/>
                    <w:rPr>
                      <w:rFonts w:eastAsia="Times New Roman"/>
                      <w:color w:val="000000"/>
                      <w:sz w:val="24"/>
                      <w:szCs w:val="24"/>
                      <w:lang w:val="sv-SE"/>
                    </w:rPr>
                  </w:pPr>
                  <w:r>
                    <w:rPr>
                      <w:rFonts w:eastAsia="Times New Roman"/>
                      <w:color w:val="000000"/>
                      <w:sz w:val="24"/>
                      <w:lang w:val="sv-SE"/>
                    </w:rPr>
                    <w:t>De nationella programmen</w:t>
                  </w:r>
                  <w:r w:rsidR="00584972">
                    <w:rPr>
                      <w:rFonts w:eastAsia="Times New Roman"/>
                      <w:color w:val="000000"/>
                      <w:sz w:val="24"/>
                      <w:lang w:val="sv-SE"/>
                    </w:rPr>
                    <w:t xml:space="preserve"> gymnasieskolan</w:t>
                  </w:r>
                  <w:r>
                    <w:rPr>
                      <w:rFonts w:eastAsia="Times New Roman"/>
                      <w:color w:val="000000"/>
                      <w:sz w:val="24"/>
                      <w:lang w:val="sv-SE"/>
                    </w:rPr>
                    <w:t xml:space="preserve"> avsedda att genomföras på tre läsår. Huvudmannen får besluta att förlägga utbildningen på längre tid än tre läsår, om eleven har läst ett reducerat program eller om det med hänsyn till elevens förutsättningar i övrigt finns särskilda skäl för det</w:t>
                  </w:r>
                  <w:r w:rsidR="00164253">
                    <w:rPr>
                      <w:rFonts w:eastAsia="Times New Roman"/>
                      <w:color w:val="000000"/>
                      <w:sz w:val="24"/>
                      <w:lang w:val="sv-SE"/>
                    </w:rPr>
                    <w:t>.</w:t>
                  </w:r>
                  <w:r w:rsidR="00584972">
                    <w:rPr>
                      <w:rFonts w:eastAsia="Times New Roman"/>
                      <w:color w:val="000000"/>
                      <w:sz w:val="24"/>
                      <w:lang w:val="sv-SE"/>
                    </w:rPr>
                    <w:t xml:space="preserve"> (16 kap. 15 § skollagen och 9 kap. 7 § gymnasieförordningen)</w:t>
                  </w:r>
                </w:p>
                <w:p w14:paraId="176B39F7" w14:textId="19A7BC44" w:rsidR="00123225" w:rsidRDefault="00123225">
                  <w:pPr>
                    <w:spacing w:before="122" w:line="275" w:lineRule="exact"/>
                    <w:ind w:right="72"/>
                    <w:jc w:val="both"/>
                    <w:textAlignment w:val="baseline"/>
                    <w:rPr>
                      <w:rFonts w:eastAsia="Times New Roman"/>
                      <w:color w:val="000000"/>
                      <w:sz w:val="24"/>
                      <w:lang w:val="sv-SE"/>
                    </w:rPr>
                  </w:pPr>
                  <w:r>
                    <w:rPr>
                      <w:rFonts w:eastAsia="Times New Roman"/>
                      <w:color w:val="000000"/>
                      <w:sz w:val="24"/>
                      <w:lang w:val="sv-SE"/>
                    </w:rPr>
                    <w:t>Programmen inom anpassad gymnasieskola är avsedda att genomföras på fyra läsår. Även här får dock huvudmannen besluta att fördela utbildningen över längre tid</w:t>
                  </w:r>
                  <w:r w:rsidR="00584972">
                    <w:rPr>
                      <w:rFonts w:eastAsia="Times New Roman"/>
                      <w:color w:val="000000"/>
                      <w:sz w:val="24"/>
                      <w:lang w:val="sv-SE"/>
                    </w:rPr>
                    <w:t>, men villkor i gymnasieförordningen motsvarande dem som finns för nationella program i gymnasieskolan saknas</w:t>
                  </w:r>
                  <w:r w:rsidR="00164253">
                    <w:rPr>
                      <w:rFonts w:eastAsia="Times New Roman"/>
                      <w:color w:val="000000"/>
                      <w:sz w:val="24"/>
                      <w:lang w:val="sv-SE"/>
                    </w:rPr>
                    <w:t>.</w:t>
                  </w:r>
                  <w:r w:rsidR="00584972">
                    <w:rPr>
                      <w:rFonts w:eastAsia="Times New Roman"/>
                      <w:color w:val="000000"/>
                      <w:sz w:val="24"/>
                      <w:lang w:val="sv-SE"/>
                    </w:rPr>
                    <w:t xml:space="preserve"> (19 kap 17 § skollagen)</w:t>
                  </w:r>
                </w:p>
                <w:p w14:paraId="6BC12FF7" w14:textId="3D55B622" w:rsidR="00164253" w:rsidRDefault="00164253">
                  <w:pPr>
                    <w:spacing w:before="122" w:line="275" w:lineRule="exact"/>
                    <w:ind w:right="72"/>
                    <w:jc w:val="both"/>
                    <w:textAlignment w:val="baseline"/>
                    <w:rPr>
                      <w:rFonts w:eastAsia="Times New Roman"/>
                      <w:color w:val="000000"/>
                      <w:sz w:val="24"/>
                      <w:lang w:val="sv-SE"/>
                    </w:rPr>
                  </w:pPr>
                  <w:r>
                    <w:rPr>
                      <w:rFonts w:eastAsia="Times New Roman"/>
                      <w:color w:val="000000"/>
                      <w:sz w:val="24"/>
                      <w:lang w:val="sv-SE"/>
                    </w:rPr>
                    <w:t>För introduktionsprogram saknas rättslig reglering av utbildningens längd.</w:t>
                  </w:r>
                </w:p>
                <w:p w14:paraId="1B1748C7" w14:textId="6E468270" w:rsidR="003D63F7" w:rsidRDefault="00B40764">
                  <w:pPr>
                    <w:spacing w:before="122" w:line="275" w:lineRule="exact"/>
                    <w:ind w:right="72"/>
                    <w:jc w:val="both"/>
                    <w:textAlignment w:val="baseline"/>
                    <w:rPr>
                      <w:rFonts w:eastAsia="Times New Roman"/>
                      <w:color w:val="000000"/>
                      <w:sz w:val="24"/>
                      <w:lang w:val="sv-SE"/>
                    </w:rPr>
                  </w:pPr>
                  <w:r>
                    <w:rPr>
                      <w:rFonts w:eastAsia="Times New Roman"/>
                      <w:color w:val="000000"/>
                      <w:sz w:val="24"/>
                      <w:lang w:val="sv-SE"/>
                    </w:rPr>
                    <w:t>Förlängd undervisning ska generellt hanteras inom ramen för befintlig ersättning och vid omfattande behov av särskilt stöd kan skolan ansöka om tilläggsbelopp / verksamhetsstöd. Beslut om ersättning och tilläggsbelopp för fristående skolor kan överklagas hos allmän förvaltningsdomstol. Ersättningsfrågor mellan kommuner får lösas mellan kommuner. Hemkommunen beslutar om ytterligare ersättning för förlängd studiegång</w:t>
                  </w:r>
                  <w:r w:rsidR="00584972">
                    <w:rPr>
                      <w:rFonts w:eastAsia="Times New Roman"/>
                      <w:color w:val="000000"/>
                      <w:sz w:val="24"/>
                      <w:lang w:val="sv-SE"/>
                    </w:rPr>
                    <w:t xml:space="preserve"> (16 kap. 50-55 §§ skollagen).</w:t>
                  </w:r>
                  <w:r>
                    <w:rPr>
                      <w:rFonts w:eastAsia="Times New Roman"/>
                      <w:color w:val="000000"/>
                      <w:sz w:val="16"/>
                      <w:lang w:val="sv-SE"/>
                    </w:rPr>
                    <w:t xml:space="preserve"> </w:t>
                  </w:r>
                </w:p>
                <w:p w14:paraId="674FAC6B" w14:textId="1CC8AFB9" w:rsidR="003D63F7" w:rsidRDefault="00B40764">
                  <w:pPr>
                    <w:spacing w:before="129" w:line="275" w:lineRule="exact"/>
                    <w:ind w:right="72"/>
                    <w:jc w:val="both"/>
                    <w:textAlignment w:val="baseline"/>
                    <w:rPr>
                      <w:rFonts w:eastAsia="Times New Roman"/>
                      <w:color w:val="000000"/>
                      <w:sz w:val="24"/>
                      <w:lang w:val="sv-SE"/>
                    </w:rPr>
                  </w:pPr>
                  <w:r>
                    <w:rPr>
                      <w:rFonts w:eastAsia="Times New Roman"/>
                      <w:color w:val="000000"/>
                      <w:sz w:val="24"/>
                      <w:lang w:val="sv-SE"/>
                    </w:rPr>
                    <w:t>Det saknas en tydlig reglering eller enhetlig praxis kring kostnader för ersättning för förlängd utbildning. Olika kommuner och kommunala samverkansområden har utvecklat olika hantering av frågan. En vanlig hantering är dock</w:t>
                  </w:r>
                  <w:r w:rsidR="00A36096">
                    <w:rPr>
                      <w:rFonts w:eastAsia="Times New Roman"/>
                      <w:color w:val="000000"/>
                      <w:sz w:val="24"/>
                      <w:lang w:val="sv-SE"/>
                    </w:rPr>
                    <w:t xml:space="preserve"> att</w:t>
                  </w:r>
                  <w:r>
                    <w:rPr>
                      <w:rFonts w:eastAsia="Times New Roman"/>
                      <w:color w:val="000000"/>
                      <w:sz w:val="24"/>
                      <w:lang w:val="sv-SE"/>
                    </w:rPr>
                    <w:t xml:space="preserve"> hemkommunen prövar frågan om ersättning för förlängd studietid.</w:t>
                  </w:r>
                </w:p>
                <w:p w14:paraId="76967290" w14:textId="77777777" w:rsidR="003D63F7" w:rsidRDefault="00B40764">
                  <w:pPr>
                    <w:spacing w:before="230" w:line="264" w:lineRule="exact"/>
                    <w:textAlignment w:val="baseline"/>
                    <w:rPr>
                      <w:rFonts w:ascii="Calibri" w:eastAsia="Calibri" w:hAnsi="Calibri"/>
                      <w:b/>
                      <w:color w:val="000000"/>
                      <w:sz w:val="26"/>
                      <w:lang w:val="sv-SE"/>
                    </w:rPr>
                  </w:pPr>
                  <w:r>
                    <w:rPr>
                      <w:rFonts w:ascii="Calibri" w:eastAsia="Calibri" w:hAnsi="Calibri"/>
                      <w:b/>
                      <w:color w:val="000000"/>
                      <w:sz w:val="26"/>
                      <w:lang w:val="sv-SE"/>
                    </w:rPr>
                    <w:t>Definition och avgränsningar</w:t>
                  </w:r>
                </w:p>
                <w:p w14:paraId="04B5FB86" w14:textId="77777777" w:rsidR="003D63F7" w:rsidRDefault="00B40764">
                  <w:pPr>
                    <w:spacing w:before="34" w:line="274" w:lineRule="exact"/>
                    <w:textAlignment w:val="baseline"/>
                    <w:rPr>
                      <w:rFonts w:eastAsia="Times New Roman"/>
                      <w:b/>
                      <w:color w:val="000000"/>
                      <w:sz w:val="24"/>
                      <w:lang w:val="sv-SE"/>
                    </w:rPr>
                  </w:pPr>
                  <w:r>
                    <w:rPr>
                      <w:rFonts w:eastAsia="Times New Roman"/>
                      <w:b/>
                      <w:color w:val="000000"/>
                      <w:sz w:val="24"/>
                      <w:lang w:val="sv-SE"/>
                    </w:rPr>
                    <w:t>Ordinarie förläggning av undervisningen</w:t>
                  </w:r>
                </w:p>
                <w:p w14:paraId="547EE4DF" w14:textId="03CC04AE" w:rsidR="003D63F7" w:rsidRDefault="00584972">
                  <w:pPr>
                    <w:numPr>
                      <w:ilvl w:val="0"/>
                      <w:numId w:val="1"/>
                    </w:numPr>
                    <w:tabs>
                      <w:tab w:val="clear" w:pos="360"/>
                      <w:tab w:val="left" w:pos="720"/>
                    </w:tabs>
                    <w:spacing w:before="14" w:line="275" w:lineRule="exact"/>
                    <w:ind w:left="720" w:right="288" w:hanging="360"/>
                    <w:textAlignment w:val="baseline"/>
                    <w:rPr>
                      <w:rFonts w:eastAsia="Times New Roman"/>
                      <w:color w:val="000000"/>
                      <w:spacing w:val="-2"/>
                      <w:sz w:val="24"/>
                      <w:lang w:val="sv-SE"/>
                    </w:rPr>
                  </w:pPr>
                  <w:r>
                    <w:rPr>
                      <w:rFonts w:eastAsia="Times New Roman"/>
                      <w:color w:val="000000"/>
                      <w:spacing w:val="-2"/>
                      <w:sz w:val="24"/>
                      <w:lang w:val="sv-SE"/>
                    </w:rPr>
                    <w:t>De n</w:t>
                  </w:r>
                  <w:r w:rsidR="00B40764">
                    <w:rPr>
                      <w:rFonts w:eastAsia="Times New Roman"/>
                      <w:color w:val="000000"/>
                      <w:spacing w:val="-2"/>
                      <w:sz w:val="24"/>
                      <w:lang w:val="sv-SE"/>
                    </w:rPr>
                    <w:t>ationella programmen inom gymnasieskolan ska genomgås på tre läsår. Huvudmannen kan besluta om att förlägga undervisningen på längre tid, vilket generellt ska hanteras inom ramen för befintlig ersättning.</w:t>
                  </w:r>
                </w:p>
                <w:p w14:paraId="231F2AC3" w14:textId="77777777" w:rsidR="003D63F7" w:rsidRDefault="00B40764">
                  <w:pPr>
                    <w:numPr>
                      <w:ilvl w:val="0"/>
                      <w:numId w:val="1"/>
                    </w:numPr>
                    <w:tabs>
                      <w:tab w:val="clear" w:pos="360"/>
                      <w:tab w:val="left" w:pos="720"/>
                    </w:tabs>
                    <w:spacing w:before="17" w:after="902" w:line="275" w:lineRule="exact"/>
                    <w:ind w:left="720" w:right="288" w:hanging="360"/>
                    <w:jc w:val="both"/>
                    <w:textAlignment w:val="baseline"/>
                    <w:rPr>
                      <w:rFonts w:eastAsia="Times New Roman"/>
                      <w:color w:val="000000"/>
                      <w:spacing w:val="-1"/>
                      <w:sz w:val="24"/>
                      <w:lang w:val="sv-SE"/>
                    </w:rPr>
                  </w:pPr>
                  <w:r>
                    <w:rPr>
                      <w:rFonts w:eastAsia="Times New Roman"/>
                      <w:color w:val="000000"/>
                      <w:spacing w:val="-1"/>
                      <w:sz w:val="24"/>
                      <w:lang w:val="sv-SE"/>
                    </w:rPr>
                    <w:t>Vidareutbildning i form av ett fjärde tekniskt år genomförs efter examen från teknikprogrammet och ger en total studiegång på fyra läsår.</w:t>
                  </w:r>
                </w:p>
              </w:txbxContent>
            </v:textbox>
            <w10:wrap type="square" anchorx="page" anchory="page"/>
          </v:shape>
        </w:pict>
      </w:r>
      <w:r>
        <w:pict w14:anchorId="68459966">
          <v:shape id="_x0000_s0" o:spid="_x0000_s1032" type="#_x0000_t202" style="position:absolute;margin-left:65.05pt;margin-top:28pt;width:492.15pt;height:42.1pt;z-index:-25166233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553"/>
                    <w:gridCol w:w="6291"/>
                    <w:gridCol w:w="999"/>
                  </w:tblGrid>
                  <w:tr w:rsidR="003D63F7" w14:paraId="5B1361AE" w14:textId="77777777">
                    <w:trPr>
                      <w:trHeight w:hRule="exact" w:val="770"/>
                    </w:trPr>
                    <w:tc>
                      <w:tcPr>
                        <w:tcW w:w="2553" w:type="dxa"/>
                      </w:tcPr>
                      <w:p w14:paraId="0ED22CC5" w14:textId="77777777" w:rsidR="003D63F7" w:rsidRDefault="00B40764">
                        <w:pPr>
                          <w:spacing w:before="6" w:after="24"/>
                          <w:jc w:val="center"/>
                          <w:textAlignment w:val="baseline"/>
                        </w:pPr>
                        <w:r>
                          <w:rPr>
                            <w:noProof/>
                          </w:rPr>
                          <w:drawing>
                            <wp:inline distT="0" distB="0" distL="0" distR="0" wp14:anchorId="69DE540B" wp14:editId="114B1705">
                              <wp:extent cx="1621155" cy="4546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621155" cy="454660"/>
                                      </a:xfrm>
                                      <a:prstGeom prst="rect">
                                        <a:avLst/>
                                      </a:prstGeom>
                                    </pic:spPr>
                                  </pic:pic>
                                </a:graphicData>
                              </a:graphic>
                            </wp:inline>
                          </w:drawing>
                        </w:r>
                      </w:p>
                    </w:tc>
                    <w:tc>
                      <w:tcPr>
                        <w:tcW w:w="6291" w:type="dxa"/>
                        <w:vAlign w:val="bottom"/>
                      </w:tcPr>
                      <w:p w14:paraId="300C36D7" w14:textId="5C548B6F" w:rsidR="003D63F7" w:rsidRDefault="005B4EE5">
                        <w:pPr>
                          <w:spacing w:before="299" w:line="214" w:lineRule="exact"/>
                          <w:ind w:left="1224"/>
                          <w:textAlignment w:val="baseline"/>
                          <w:rPr>
                            <w:rFonts w:ascii="Calibri" w:eastAsia="Calibri" w:hAnsi="Calibri"/>
                            <w:b/>
                            <w:color w:val="000000"/>
                            <w:sz w:val="19"/>
                            <w:lang w:val="sv-SE"/>
                          </w:rPr>
                        </w:pPr>
                        <w:r>
                          <w:rPr>
                            <w:rFonts w:ascii="Calibri" w:eastAsia="Calibri" w:hAnsi="Calibri"/>
                            <w:b/>
                            <w:color w:val="000000"/>
                            <w:sz w:val="19"/>
                            <w:lang w:val="sv-SE"/>
                          </w:rPr>
                          <w:t>RUTIN</w:t>
                        </w:r>
                      </w:p>
                      <w:p w14:paraId="5FA0B590" w14:textId="77777777" w:rsidR="003D63F7" w:rsidRDefault="00B40764">
                        <w:pPr>
                          <w:spacing w:before="65" w:line="186" w:lineRule="exact"/>
                          <w:ind w:left="1224"/>
                          <w:textAlignment w:val="baseline"/>
                          <w:rPr>
                            <w:rFonts w:ascii="Calibri" w:eastAsia="Calibri" w:hAnsi="Calibri"/>
                            <w:b/>
                            <w:color w:val="000000"/>
                            <w:sz w:val="19"/>
                            <w:lang w:val="sv-SE"/>
                          </w:rPr>
                        </w:pPr>
                        <w:r>
                          <w:rPr>
                            <w:rFonts w:ascii="Calibri" w:eastAsia="Calibri" w:hAnsi="Calibri"/>
                            <w:b/>
                            <w:color w:val="000000"/>
                            <w:sz w:val="19"/>
                            <w:lang w:val="sv-SE"/>
                          </w:rPr>
                          <w:t>GYMNASIE- OCH ARBETSMARKNADSFÖRVALTNINGEN</w:t>
                        </w:r>
                      </w:p>
                    </w:tc>
                    <w:tc>
                      <w:tcPr>
                        <w:tcW w:w="999" w:type="dxa"/>
                        <w:vAlign w:val="center"/>
                      </w:tcPr>
                      <w:p w14:paraId="33623EE3" w14:textId="77777777" w:rsidR="003D63F7" w:rsidRDefault="00B40764">
                        <w:pPr>
                          <w:spacing w:before="266" w:after="302" w:line="196" w:lineRule="exact"/>
                          <w:jc w:val="right"/>
                          <w:textAlignment w:val="baseline"/>
                          <w:rPr>
                            <w:rFonts w:ascii="Calibri" w:eastAsia="Calibri" w:hAnsi="Calibri"/>
                            <w:color w:val="000000"/>
                            <w:sz w:val="19"/>
                            <w:lang w:val="sv-SE"/>
                          </w:rPr>
                        </w:pPr>
                        <w:r>
                          <w:rPr>
                            <w:rFonts w:ascii="Calibri" w:eastAsia="Calibri" w:hAnsi="Calibri"/>
                            <w:color w:val="000000"/>
                            <w:sz w:val="19"/>
                            <w:lang w:val="sv-SE"/>
                          </w:rPr>
                          <w:t>1 (3)</w:t>
                        </w:r>
                      </w:p>
                    </w:tc>
                  </w:tr>
                </w:tbl>
                <w:p w14:paraId="11973A8A" w14:textId="77777777" w:rsidR="003D63F7" w:rsidRDefault="003D63F7">
                  <w:pPr>
                    <w:spacing w:after="52" w:line="20" w:lineRule="exact"/>
                  </w:pPr>
                </w:p>
              </w:txbxContent>
            </v:textbox>
            <w10:wrap type="square" anchorx="page" anchory="page"/>
          </v:shape>
        </w:pict>
      </w:r>
    </w:p>
    <w:p w14:paraId="30F34A39" w14:textId="77777777" w:rsidR="003D63F7" w:rsidRDefault="003D63F7">
      <w:pPr>
        <w:rPr>
          <w:rFonts w:ascii="Calibri" w:eastAsia="Calibri" w:hAnsi="Calibri"/>
          <w:color w:val="000000"/>
          <w:sz w:val="16"/>
          <w:lang w:val="sv-SE"/>
        </w:rPr>
      </w:pPr>
    </w:p>
    <w:p w14:paraId="61F5F410" w14:textId="77777777" w:rsidR="00584972" w:rsidRPr="00584972" w:rsidRDefault="00584972" w:rsidP="00584972">
      <w:pPr>
        <w:rPr>
          <w:lang w:val="sv-SE"/>
        </w:rPr>
      </w:pPr>
    </w:p>
    <w:p w14:paraId="41D6B1F0" w14:textId="77777777" w:rsidR="00584972" w:rsidRPr="00584972" w:rsidRDefault="00584972" w:rsidP="00584972">
      <w:pPr>
        <w:rPr>
          <w:lang w:val="sv-SE"/>
        </w:rPr>
      </w:pPr>
    </w:p>
    <w:p w14:paraId="7B196F34" w14:textId="77777777" w:rsidR="00584972" w:rsidRPr="00584972" w:rsidRDefault="00584972" w:rsidP="00584972">
      <w:pPr>
        <w:rPr>
          <w:lang w:val="sv-SE"/>
        </w:rPr>
      </w:pPr>
    </w:p>
    <w:p w14:paraId="475AA880" w14:textId="77777777" w:rsidR="00584972" w:rsidRPr="00584972" w:rsidRDefault="00584972" w:rsidP="00584972">
      <w:pPr>
        <w:rPr>
          <w:lang w:val="sv-SE"/>
        </w:rPr>
      </w:pPr>
    </w:p>
    <w:p w14:paraId="05A3AE71" w14:textId="77777777" w:rsidR="00584972" w:rsidRPr="00584972" w:rsidRDefault="00584972" w:rsidP="00584972">
      <w:pPr>
        <w:rPr>
          <w:lang w:val="sv-SE"/>
        </w:rPr>
      </w:pPr>
    </w:p>
    <w:p w14:paraId="721E4262" w14:textId="77777777" w:rsidR="00584972" w:rsidRPr="00584972" w:rsidRDefault="00584972" w:rsidP="00584972">
      <w:pPr>
        <w:rPr>
          <w:lang w:val="sv-SE"/>
        </w:rPr>
      </w:pPr>
    </w:p>
    <w:p w14:paraId="3F0091F6" w14:textId="77777777" w:rsidR="00584972" w:rsidRPr="00584972" w:rsidRDefault="00584972" w:rsidP="00584972">
      <w:pPr>
        <w:rPr>
          <w:lang w:val="sv-SE"/>
        </w:rPr>
      </w:pPr>
    </w:p>
    <w:p w14:paraId="6FBBAC30" w14:textId="77777777" w:rsidR="00584972" w:rsidRPr="00584972" w:rsidRDefault="00584972" w:rsidP="00584972">
      <w:pPr>
        <w:rPr>
          <w:lang w:val="sv-SE"/>
        </w:rPr>
      </w:pPr>
    </w:p>
    <w:p w14:paraId="0D819978" w14:textId="77777777" w:rsidR="00584972" w:rsidRPr="00584972" w:rsidRDefault="00584972" w:rsidP="00584972">
      <w:pPr>
        <w:rPr>
          <w:lang w:val="sv-SE"/>
        </w:rPr>
      </w:pPr>
    </w:p>
    <w:p w14:paraId="72F9574E" w14:textId="77777777" w:rsidR="00584972" w:rsidRPr="00584972" w:rsidRDefault="00584972" w:rsidP="00584972">
      <w:pPr>
        <w:rPr>
          <w:lang w:val="sv-SE"/>
        </w:rPr>
      </w:pPr>
    </w:p>
    <w:p w14:paraId="5CD5D15F" w14:textId="77777777" w:rsidR="00584972" w:rsidRPr="00584972" w:rsidRDefault="00584972" w:rsidP="00584972">
      <w:pPr>
        <w:rPr>
          <w:lang w:val="sv-SE"/>
        </w:rPr>
      </w:pPr>
    </w:p>
    <w:p w14:paraId="27550604" w14:textId="77777777" w:rsidR="00584972" w:rsidRPr="00584972" w:rsidRDefault="00584972" w:rsidP="00584972">
      <w:pPr>
        <w:rPr>
          <w:lang w:val="sv-SE"/>
        </w:rPr>
      </w:pPr>
    </w:p>
    <w:p w14:paraId="0C820B59" w14:textId="77777777" w:rsidR="00584972" w:rsidRPr="00584972" w:rsidRDefault="00584972" w:rsidP="00584972">
      <w:pPr>
        <w:rPr>
          <w:lang w:val="sv-SE"/>
        </w:rPr>
      </w:pPr>
    </w:p>
    <w:p w14:paraId="5AB7D8CB" w14:textId="77777777" w:rsidR="00584972" w:rsidRPr="00584972" w:rsidRDefault="00584972" w:rsidP="00584972">
      <w:pPr>
        <w:rPr>
          <w:lang w:val="sv-SE"/>
        </w:rPr>
      </w:pPr>
    </w:p>
    <w:p w14:paraId="0293B90C" w14:textId="77777777" w:rsidR="00584972" w:rsidRPr="00584972" w:rsidRDefault="00584972" w:rsidP="00584972">
      <w:pPr>
        <w:rPr>
          <w:lang w:val="sv-SE"/>
        </w:rPr>
      </w:pPr>
    </w:p>
    <w:p w14:paraId="3412B973" w14:textId="77777777" w:rsidR="00584972" w:rsidRPr="00584972" w:rsidRDefault="00584972" w:rsidP="00584972">
      <w:pPr>
        <w:rPr>
          <w:lang w:val="sv-SE"/>
        </w:rPr>
      </w:pPr>
    </w:p>
    <w:p w14:paraId="286721D9" w14:textId="77777777" w:rsidR="00584972" w:rsidRPr="00584972" w:rsidRDefault="00584972" w:rsidP="00584972">
      <w:pPr>
        <w:rPr>
          <w:lang w:val="sv-SE"/>
        </w:rPr>
      </w:pPr>
    </w:p>
    <w:p w14:paraId="2FCF3F79" w14:textId="77777777" w:rsidR="00584972" w:rsidRPr="00584972" w:rsidRDefault="00584972" w:rsidP="00584972">
      <w:pPr>
        <w:rPr>
          <w:lang w:val="sv-SE"/>
        </w:rPr>
      </w:pPr>
    </w:p>
    <w:p w14:paraId="16387FD8" w14:textId="77777777" w:rsidR="00584972" w:rsidRPr="00584972" w:rsidRDefault="00584972" w:rsidP="00584972">
      <w:pPr>
        <w:rPr>
          <w:lang w:val="sv-SE"/>
        </w:rPr>
      </w:pPr>
    </w:p>
    <w:p w14:paraId="139400D5" w14:textId="77777777" w:rsidR="00584972" w:rsidRPr="00584972" w:rsidRDefault="00584972" w:rsidP="00584972">
      <w:pPr>
        <w:rPr>
          <w:lang w:val="sv-SE"/>
        </w:rPr>
      </w:pPr>
    </w:p>
    <w:p w14:paraId="3D10C8F9" w14:textId="77777777" w:rsidR="00584972" w:rsidRPr="00584972" w:rsidRDefault="00584972" w:rsidP="00584972">
      <w:pPr>
        <w:rPr>
          <w:lang w:val="sv-SE"/>
        </w:rPr>
      </w:pPr>
    </w:p>
    <w:p w14:paraId="7B150E48" w14:textId="77777777" w:rsidR="00584972" w:rsidRPr="00584972" w:rsidRDefault="00584972" w:rsidP="00584972">
      <w:pPr>
        <w:rPr>
          <w:lang w:val="sv-SE"/>
        </w:rPr>
      </w:pPr>
    </w:p>
    <w:p w14:paraId="186E5FA4" w14:textId="77777777" w:rsidR="00584972" w:rsidRPr="00584972" w:rsidRDefault="00584972" w:rsidP="00584972">
      <w:pPr>
        <w:rPr>
          <w:lang w:val="sv-SE"/>
        </w:rPr>
      </w:pPr>
    </w:p>
    <w:p w14:paraId="0E9B6DFB" w14:textId="77777777" w:rsidR="00584972" w:rsidRPr="00584972" w:rsidRDefault="00584972" w:rsidP="00584972">
      <w:pPr>
        <w:rPr>
          <w:lang w:val="sv-SE"/>
        </w:rPr>
      </w:pPr>
    </w:p>
    <w:p w14:paraId="013BAE23" w14:textId="77777777" w:rsidR="00584972" w:rsidRPr="00584972" w:rsidRDefault="00584972" w:rsidP="00584972">
      <w:pPr>
        <w:rPr>
          <w:lang w:val="sv-SE"/>
        </w:rPr>
      </w:pPr>
    </w:p>
    <w:p w14:paraId="72A03F70" w14:textId="77777777" w:rsidR="00584972" w:rsidRPr="00584972" w:rsidRDefault="00584972" w:rsidP="00584972">
      <w:pPr>
        <w:rPr>
          <w:lang w:val="sv-SE"/>
        </w:rPr>
      </w:pPr>
    </w:p>
    <w:p w14:paraId="2F614306" w14:textId="77777777" w:rsidR="00584972" w:rsidRPr="00584972" w:rsidRDefault="00584972" w:rsidP="00584972">
      <w:pPr>
        <w:rPr>
          <w:lang w:val="sv-SE"/>
        </w:rPr>
      </w:pPr>
    </w:p>
    <w:p w14:paraId="755BAF46" w14:textId="77777777" w:rsidR="00584972" w:rsidRPr="00584972" w:rsidRDefault="00584972" w:rsidP="00584972">
      <w:pPr>
        <w:rPr>
          <w:lang w:val="sv-SE"/>
        </w:rPr>
      </w:pPr>
    </w:p>
    <w:p w14:paraId="54C15027" w14:textId="77777777" w:rsidR="00584972" w:rsidRPr="00584972" w:rsidRDefault="00584972" w:rsidP="00584972">
      <w:pPr>
        <w:rPr>
          <w:lang w:val="sv-SE"/>
        </w:rPr>
      </w:pPr>
    </w:p>
    <w:p w14:paraId="2CFBA2CD" w14:textId="77777777" w:rsidR="00584972" w:rsidRPr="00584972" w:rsidRDefault="00584972" w:rsidP="00584972">
      <w:pPr>
        <w:rPr>
          <w:lang w:val="sv-SE"/>
        </w:rPr>
      </w:pPr>
    </w:p>
    <w:p w14:paraId="680CE780" w14:textId="77777777" w:rsidR="00584972" w:rsidRPr="00584972" w:rsidRDefault="00584972" w:rsidP="00584972">
      <w:pPr>
        <w:rPr>
          <w:lang w:val="sv-SE"/>
        </w:rPr>
      </w:pPr>
    </w:p>
    <w:p w14:paraId="4A56AE3B" w14:textId="77777777" w:rsidR="00584972" w:rsidRPr="00584972" w:rsidRDefault="00584972" w:rsidP="00584972">
      <w:pPr>
        <w:rPr>
          <w:lang w:val="sv-SE"/>
        </w:rPr>
      </w:pPr>
    </w:p>
    <w:p w14:paraId="5AB483BA" w14:textId="77777777" w:rsidR="00584972" w:rsidRPr="00584972" w:rsidRDefault="00584972" w:rsidP="00584972">
      <w:pPr>
        <w:rPr>
          <w:lang w:val="sv-SE"/>
        </w:rPr>
      </w:pPr>
    </w:p>
    <w:p w14:paraId="402582EB" w14:textId="77777777" w:rsidR="00584972" w:rsidRPr="00584972" w:rsidRDefault="00584972" w:rsidP="00584972">
      <w:pPr>
        <w:rPr>
          <w:lang w:val="sv-SE"/>
        </w:rPr>
      </w:pPr>
    </w:p>
    <w:p w14:paraId="2872FFD4" w14:textId="77777777" w:rsidR="00584972" w:rsidRPr="00584972" w:rsidRDefault="00584972" w:rsidP="00584972">
      <w:pPr>
        <w:rPr>
          <w:lang w:val="sv-SE"/>
        </w:rPr>
      </w:pPr>
    </w:p>
    <w:p w14:paraId="00BDDEC1" w14:textId="77777777" w:rsidR="00584972" w:rsidRPr="00584972" w:rsidRDefault="00584972" w:rsidP="00584972">
      <w:pPr>
        <w:rPr>
          <w:lang w:val="sv-SE"/>
        </w:rPr>
      </w:pPr>
    </w:p>
    <w:p w14:paraId="0CC9AD07" w14:textId="77777777" w:rsidR="00584972" w:rsidRPr="00584972" w:rsidRDefault="00584972" w:rsidP="00584972">
      <w:pPr>
        <w:rPr>
          <w:lang w:val="sv-SE"/>
        </w:rPr>
      </w:pPr>
    </w:p>
    <w:p w14:paraId="7F0C4EFA" w14:textId="77777777" w:rsidR="00584972" w:rsidRPr="00584972" w:rsidRDefault="00584972" w:rsidP="00584972">
      <w:pPr>
        <w:rPr>
          <w:lang w:val="sv-SE"/>
        </w:rPr>
      </w:pPr>
    </w:p>
    <w:p w14:paraId="0067D6C2" w14:textId="77777777" w:rsidR="00584972" w:rsidRPr="00584972" w:rsidRDefault="00584972" w:rsidP="00584972">
      <w:pPr>
        <w:rPr>
          <w:lang w:val="sv-SE"/>
        </w:rPr>
      </w:pPr>
    </w:p>
    <w:p w14:paraId="5334C163" w14:textId="77777777" w:rsidR="00584972" w:rsidRPr="00584972" w:rsidRDefault="00584972" w:rsidP="00584972">
      <w:pPr>
        <w:rPr>
          <w:lang w:val="sv-SE"/>
        </w:rPr>
      </w:pPr>
    </w:p>
    <w:p w14:paraId="58EE4C0C" w14:textId="77777777" w:rsidR="00584972" w:rsidRPr="00584972" w:rsidRDefault="00584972" w:rsidP="00584972">
      <w:pPr>
        <w:rPr>
          <w:lang w:val="sv-SE"/>
        </w:rPr>
      </w:pPr>
    </w:p>
    <w:p w14:paraId="1165CE85" w14:textId="77777777" w:rsidR="00584972" w:rsidRPr="00584972" w:rsidRDefault="00584972" w:rsidP="00584972">
      <w:pPr>
        <w:rPr>
          <w:lang w:val="sv-SE"/>
        </w:rPr>
      </w:pPr>
    </w:p>
    <w:p w14:paraId="5557713B" w14:textId="77777777" w:rsidR="00584972" w:rsidRPr="00584972" w:rsidRDefault="00584972" w:rsidP="00584972">
      <w:pPr>
        <w:rPr>
          <w:lang w:val="sv-SE"/>
        </w:rPr>
      </w:pPr>
    </w:p>
    <w:p w14:paraId="0BDA1802" w14:textId="77777777" w:rsidR="00584972" w:rsidRDefault="00584972" w:rsidP="00584972">
      <w:pPr>
        <w:rPr>
          <w:rFonts w:ascii="Calibri" w:eastAsia="Calibri" w:hAnsi="Calibri"/>
          <w:color w:val="000000"/>
          <w:sz w:val="16"/>
          <w:lang w:val="sv-SE"/>
        </w:rPr>
      </w:pPr>
    </w:p>
    <w:p w14:paraId="15B72098" w14:textId="77777777" w:rsidR="00584972" w:rsidRPr="00584972" w:rsidRDefault="00584972" w:rsidP="00584972">
      <w:pPr>
        <w:rPr>
          <w:lang w:val="sv-SE"/>
        </w:rPr>
      </w:pPr>
    </w:p>
    <w:p w14:paraId="5A6F51C2" w14:textId="77777777" w:rsidR="00584972" w:rsidRPr="00584972" w:rsidRDefault="00584972" w:rsidP="00584972">
      <w:pPr>
        <w:rPr>
          <w:lang w:val="sv-SE"/>
        </w:rPr>
      </w:pPr>
    </w:p>
    <w:p w14:paraId="52895ED8" w14:textId="77777777" w:rsidR="00584972" w:rsidRPr="00584972" w:rsidRDefault="00584972" w:rsidP="00584972">
      <w:pPr>
        <w:rPr>
          <w:lang w:val="sv-SE"/>
        </w:rPr>
      </w:pPr>
    </w:p>
    <w:p w14:paraId="0ECB63B2" w14:textId="77777777" w:rsidR="00584972" w:rsidRPr="00584972" w:rsidRDefault="00584972" w:rsidP="00584972">
      <w:pPr>
        <w:rPr>
          <w:lang w:val="sv-SE"/>
        </w:rPr>
      </w:pPr>
    </w:p>
    <w:p w14:paraId="76812E0E" w14:textId="77777777" w:rsidR="00584972" w:rsidRDefault="00584972" w:rsidP="00584972">
      <w:pPr>
        <w:rPr>
          <w:rFonts w:ascii="Calibri" w:eastAsia="Calibri" w:hAnsi="Calibri"/>
          <w:color w:val="000000"/>
          <w:sz w:val="16"/>
          <w:lang w:val="sv-SE"/>
        </w:rPr>
      </w:pPr>
    </w:p>
    <w:p w14:paraId="7146610B" w14:textId="58CEB581" w:rsidR="00584972" w:rsidRPr="00584972" w:rsidRDefault="00584972" w:rsidP="00584972">
      <w:pPr>
        <w:tabs>
          <w:tab w:val="left" w:pos="3540"/>
        </w:tabs>
        <w:sectPr w:rsidR="00584972" w:rsidRPr="00584972">
          <w:pgSz w:w="11909" w:h="16838"/>
          <w:pgMar w:top="560" w:right="765" w:bottom="324" w:left="1301" w:header="720" w:footer="720" w:gutter="0"/>
          <w:cols w:space="720"/>
        </w:sectPr>
      </w:pPr>
    </w:p>
    <w:p w14:paraId="3405CDB2" w14:textId="13935B58" w:rsidR="003D63F7" w:rsidRDefault="00834401">
      <w:pPr>
        <w:textAlignment w:val="baseline"/>
        <w:rPr>
          <w:rFonts w:eastAsia="Times New Roman"/>
          <w:color w:val="000000"/>
          <w:sz w:val="24"/>
          <w:lang w:val="sv-SE"/>
        </w:rPr>
      </w:pPr>
      <w:r>
        <w:lastRenderedPageBreak/>
        <w:pict w14:anchorId="77070F85">
          <v:shape id="_x0000_s1028" type="#_x0000_t202" style="position:absolute;margin-left:97.35pt;margin-top:86.85pt;width:401pt;height:646.15pt;z-index:-251658240;mso-wrap-distance-left:0;mso-wrap-distance-right:0;mso-position-horizontal-relative:page;mso-position-vertical-relative:page" filled="f" stroked="f">
            <v:textbox inset="0,0,0,0">
              <w:txbxContent>
                <w:p w14:paraId="7FFC5A3C" w14:textId="77777777" w:rsidR="003D63F7" w:rsidRDefault="00B40764">
                  <w:pPr>
                    <w:numPr>
                      <w:ilvl w:val="0"/>
                      <w:numId w:val="1"/>
                    </w:numPr>
                    <w:tabs>
                      <w:tab w:val="clear" w:pos="360"/>
                      <w:tab w:val="left" w:pos="792"/>
                    </w:tabs>
                    <w:spacing w:before="103" w:line="300" w:lineRule="exact"/>
                    <w:ind w:left="792" w:hanging="360"/>
                    <w:textAlignment w:val="baseline"/>
                    <w:rPr>
                      <w:rFonts w:eastAsia="Times New Roman"/>
                      <w:color w:val="000000"/>
                      <w:sz w:val="24"/>
                      <w:lang w:val="sv-SE"/>
                    </w:rPr>
                  </w:pPr>
                  <w:r>
                    <w:rPr>
                      <w:rFonts w:eastAsia="Times New Roman"/>
                      <w:color w:val="000000"/>
                      <w:sz w:val="24"/>
                      <w:lang w:val="sv-SE"/>
                    </w:rPr>
                    <w:t>Utbildningar på riksgymnasiet för döva (RGD) eller riksgymnasiet för</w:t>
                  </w:r>
                </w:p>
                <w:p w14:paraId="0F1EA656" w14:textId="77777777" w:rsidR="003D63F7" w:rsidRDefault="00B40764">
                  <w:pPr>
                    <w:spacing w:before="6" w:line="273" w:lineRule="exact"/>
                    <w:ind w:left="792"/>
                    <w:textAlignment w:val="baseline"/>
                    <w:rPr>
                      <w:rFonts w:eastAsia="Times New Roman"/>
                      <w:color w:val="000000"/>
                      <w:sz w:val="24"/>
                      <w:lang w:val="sv-SE"/>
                    </w:rPr>
                  </w:pPr>
                  <w:r>
                    <w:rPr>
                      <w:rFonts w:eastAsia="Times New Roman"/>
                      <w:color w:val="000000"/>
                      <w:sz w:val="24"/>
                      <w:lang w:val="sv-SE"/>
                    </w:rPr>
                    <w:t>hörselskadade (RGH) kan förläggas under fyra år vid behov efter beslut</w:t>
                  </w:r>
                </w:p>
                <w:p w14:paraId="25DFF282" w14:textId="77777777" w:rsidR="003D63F7" w:rsidRDefault="00B40764">
                  <w:pPr>
                    <w:spacing w:line="273" w:lineRule="exact"/>
                    <w:ind w:left="792"/>
                    <w:textAlignment w:val="baseline"/>
                    <w:rPr>
                      <w:rFonts w:eastAsia="Times New Roman"/>
                      <w:color w:val="000000"/>
                      <w:spacing w:val="-3"/>
                      <w:sz w:val="24"/>
                      <w:lang w:val="sv-SE"/>
                    </w:rPr>
                  </w:pPr>
                  <w:r>
                    <w:rPr>
                      <w:rFonts w:eastAsia="Times New Roman"/>
                      <w:color w:val="000000"/>
                      <w:spacing w:val="-3"/>
                      <w:sz w:val="24"/>
                      <w:lang w:val="sv-SE"/>
                    </w:rPr>
                    <w:t>från Örebro kommun.</w:t>
                  </w:r>
                </w:p>
                <w:p w14:paraId="00BE1882" w14:textId="54720822" w:rsidR="003D63F7" w:rsidRPr="00A36096" w:rsidRDefault="00B40764" w:rsidP="00A36096">
                  <w:pPr>
                    <w:numPr>
                      <w:ilvl w:val="0"/>
                      <w:numId w:val="1"/>
                    </w:numPr>
                    <w:tabs>
                      <w:tab w:val="clear" w:pos="360"/>
                      <w:tab w:val="left" w:pos="792"/>
                    </w:tabs>
                    <w:spacing w:before="3" w:line="300" w:lineRule="exact"/>
                    <w:ind w:left="792" w:hanging="360"/>
                    <w:textAlignment w:val="baseline"/>
                    <w:rPr>
                      <w:rFonts w:eastAsia="Times New Roman"/>
                      <w:color w:val="000000"/>
                      <w:sz w:val="24"/>
                      <w:lang w:val="sv-SE"/>
                    </w:rPr>
                  </w:pPr>
                  <w:r>
                    <w:rPr>
                      <w:rFonts w:eastAsia="Times New Roman"/>
                      <w:color w:val="000000"/>
                      <w:sz w:val="24"/>
                      <w:lang w:val="sv-SE"/>
                    </w:rPr>
                    <w:t>Nationell idrottsutbildning</w:t>
                  </w:r>
                  <w:r w:rsidR="00A36096">
                    <w:rPr>
                      <w:rFonts w:eastAsia="Times New Roman"/>
                      <w:color w:val="000000"/>
                      <w:sz w:val="24"/>
                      <w:lang w:val="sv-SE"/>
                    </w:rPr>
                    <w:t xml:space="preserve"> (NIU)</w:t>
                  </w:r>
                  <w:r>
                    <w:rPr>
                      <w:rFonts w:eastAsia="Times New Roman"/>
                      <w:color w:val="000000"/>
                      <w:sz w:val="24"/>
                      <w:lang w:val="sv-SE"/>
                    </w:rPr>
                    <w:t xml:space="preserve"> och riksidrottsutbildning</w:t>
                  </w:r>
                  <w:r w:rsidR="00A36096">
                    <w:rPr>
                      <w:rFonts w:eastAsia="Times New Roman"/>
                      <w:color w:val="000000"/>
                      <w:sz w:val="24"/>
                      <w:lang w:val="sv-SE"/>
                    </w:rPr>
                    <w:t xml:space="preserve"> (RIG)</w:t>
                  </w:r>
                  <w:r>
                    <w:rPr>
                      <w:rFonts w:eastAsia="Times New Roman"/>
                      <w:color w:val="000000"/>
                      <w:sz w:val="24"/>
                      <w:lang w:val="sv-SE"/>
                    </w:rPr>
                    <w:t xml:space="preserve"> kan förlägga</w:t>
                  </w:r>
                  <w:r w:rsidR="00A36096">
                    <w:rPr>
                      <w:rFonts w:eastAsia="Times New Roman"/>
                      <w:color w:val="000000"/>
                      <w:sz w:val="24"/>
                      <w:lang w:val="sv-SE"/>
                    </w:rPr>
                    <w:t xml:space="preserve"> </w:t>
                  </w:r>
                  <w:r w:rsidRPr="00A36096">
                    <w:rPr>
                      <w:rFonts w:eastAsia="Times New Roman"/>
                      <w:color w:val="000000"/>
                      <w:sz w:val="24"/>
                      <w:lang w:val="sv-SE"/>
                    </w:rPr>
                    <w:t xml:space="preserve">utbildningen till fyra år. </w:t>
                  </w:r>
                  <w:r w:rsidR="00A36096" w:rsidRPr="00A36096">
                    <w:rPr>
                      <w:rFonts w:eastAsia="Times New Roman"/>
                      <w:color w:val="000000"/>
                      <w:sz w:val="24"/>
                      <w:lang w:val="sv-SE"/>
                    </w:rPr>
                    <w:t xml:space="preserve">För elever på </w:t>
                  </w:r>
                  <w:r w:rsidR="00A36096">
                    <w:rPr>
                      <w:rFonts w:eastAsia="Times New Roman"/>
                      <w:color w:val="000000"/>
                      <w:sz w:val="24"/>
                      <w:lang w:val="sv-SE"/>
                    </w:rPr>
                    <w:t>RIG</w:t>
                  </w:r>
                  <w:r w:rsidR="00A36096" w:rsidRPr="00A36096">
                    <w:rPr>
                      <w:rFonts w:eastAsia="Times New Roman"/>
                      <w:color w:val="000000"/>
                      <w:sz w:val="24"/>
                      <w:lang w:val="sv-SE"/>
                    </w:rPr>
                    <w:t xml:space="preserve"> kan</w:t>
                  </w:r>
                  <w:r w:rsidR="00A36096">
                    <w:rPr>
                      <w:rFonts w:eastAsia="Times New Roman"/>
                      <w:color w:val="000000"/>
                      <w:sz w:val="24"/>
                      <w:lang w:val="sv-SE"/>
                    </w:rPr>
                    <w:t xml:space="preserve"> </w:t>
                  </w:r>
                  <w:r w:rsidR="00123225">
                    <w:rPr>
                      <w:rFonts w:eastAsia="Times New Roman"/>
                      <w:color w:val="000000"/>
                      <w:sz w:val="24"/>
                      <w:lang w:val="sv-SE"/>
                    </w:rPr>
                    <w:t>R</w:t>
                  </w:r>
                  <w:r w:rsidR="00A36096">
                    <w:rPr>
                      <w:rFonts w:eastAsia="Times New Roman"/>
                      <w:color w:val="000000"/>
                      <w:sz w:val="24"/>
                      <w:lang w:val="sv-SE"/>
                    </w:rPr>
                    <w:t>iksidrotts</w:t>
                  </w:r>
                  <w:r w:rsidR="00123225">
                    <w:rPr>
                      <w:rFonts w:eastAsia="Times New Roman"/>
                      <w:color w:val="000000"/>
                      <w:sz w:val="24"/>
                      <w:lang w:val="sv-SE"/>
                    </w:rPr>
                    <w:t>-</w:t>
                  </w:r>
                  <w:r w:rsidR="00A36096">
                    <w:rPr>
                      <w:rFonts w:eastAsia="Times New Roman"/>
                      <w:color w:val="000000"/>
                      <w:sz w:val="24"/>
                      <w:lang w:val="sv-SE"/>
                    </w:rPr>
                    <w:t>förbundet</w:t>
                  </w:r>
                  <w:r w:rsidR="00123225">
                    <w:rPr>
                      <w:rFonts w:eastAsia="Times New Roman"/>
                      <w:color w:val="000000"/>
                      <w:sz w:val="24"/>
                      <w:lang w:val="sv-SE"/>
                    </w:rPr>
                    <w:t xml:space="preserve"> lämna </w:t>
                  </w:r>
                  <w:r w:rsidR="00164253">
                    <w:rPr>
                      <w:rFonts w:eastAsia="Times New Roman"/>
                      <w:color w:val="000000"/>
                      <w:sz w:val="24"/>
                      <w:lang w:val="sv-SE"/>
                    </w:rPr>
                    <w:t>bidrag</w:t>
                  </w:r>
                  <w:r w:rsidR="00123225">
                    <w:rPr>
                      <w:rFonts w:eastAsia="Times New Roman"/>
                      <w:color w:val="000000"/>
                      <w:sz w:val="24"/>
                      <w:lang w:val="sv-SE"/>
                    </w:rPr>
                    <w:t xml:space="preserve"> för det fjärde studieåret.</w:t>
                  </w:r>
                  <w:r w:rsidR="00A36096">
                    <w:rPr>
                      <w:rFonts w:eastAsia="Times New Roman"/>
                      <w:color w:val="000000"/>
                      <w:sz w:val="24"/>
                      <w:lang w:val="sv-SE"/>
                    </w:rPr>
                    <w:t xml:space="preserve"> </w:t>
                  </w:r>
                  <w:r w:rsidR="00A36096" w:rsidRPr="00A36096">
                    <w:rPr>
                      <w:rFonts w:eastAsia="Times New Roman"/>
                      <w:color w:val="000000"/>
                      <w:sz w:val="24"/>
                      <w:lang w:val="sv-SE"/>
                    </w:rPr>
                    <w:t xml:space="preserve"> </w:t>
                  </w:r>
                </w:p>
                <w:p w14:paraId="17BEDCD1" w14:textId="77777777" w:rsidR="003D63F7" w:rsidRDefault="00B40764">
                  <w:pPr>
                    <w:numPr>
                      <w:ilvl w:val="0"/>
                      <w:numId w:val="1"/>
                    </w:numPr>
                    <w:tabs>
                      <w:tab w:val="clear" w:pos="360"/>
                      <w:tab w:val="left" w:pos="792"/>
                    </w:tabs>
                    <w:spacing w:before="20" w:line="271" w:lineRule="exact"/>
                    <w:ind w:left="792" w:right="576" w:hanging="360"/>
                    <w:textAlignment w:val="baseline"/>
                    <w:rPr>
                      <w:rFonts w:eastAsia="Times New Roman"/>
                      <w:color w:val="000000"/>
                      <w:sz w:val="24"/>
                      <w:lang w:val="sv-SE"/>
                    </w:rPr>
                  </w:pPr>
                  <w:r>
                    <w:rPr>
                      <w:rFonts w:eastAsia="Times New Roman"/>
                      <w:color w:val="000000"/>
                      <w:sz w:val="24"/>
                      <w:lang w:val="sv-SE"/>
                    </w:rPr>
                    <w:t>Längden för utbildningarna inom introduktionsprogrammen regleras i huvudmannens plan för utbildningen.</w:t>
                  </w:r>
                </w:p>
                <w:p w14:paraId="1029EA23" w14:textId="1B2DFBD2" w:rsidR="003D63F7" w:rsidRDefault="00123225">
                  <w:pPr>
                    <w:numPr>
                      <w:ilvl w:val="0"/>
                      <w:numId w:val="1"/>
                    </w:numPr>
                    <w:tabs>
                      <w:tab w:val="clear" w:pos="360"/>
                      <w:tab w:val="left" w:pos="792"/>
                    </w:tabs>
                    <w:spacing w:line="297" w:lineRule="exact"/>
                    <w:ind w:left="792" w:hanging="360"/>
                    <w:textAlignment w:val="baseline"/>
                    <w:rPr>
                      <w:rFonts w:eastAsia="Times New Roman"/>
                      <w:color w:val="000000"/>
                      <w:spacing w:val="-1"/>
                      <w:sz w:val="24"/>
                      <w:lang w:val="sv-SE"/>
                    </w:rPr>
                  </w:pPr>
                  <w:r>
                    <w:rPr>
                      <w:rFonts w:eastAsia="Times New Roman"/>
                      <w:color w:val="000000"/>
                      <w:spacing w:val="-1"/>
                      <w:sz w:val="24"/>
                      <w:lang w:val="sv-SE"/>
                    </w:rPr>
                    <w:t>Anpassad gymnasieskola</w:t>
                  </w:r>
                  <w:r w:rsidR="00B40764">
                    <w:rPr>
                      <w:rFonts w:eastAsia="Times New Roman"/>
                      <w:color w:val="000000"/>
                      <w:spacing w:val="-1"/>
                      <w:sz w:val="24"/>
                      <w:lang w:val="sv-SE"/>
                    </w:rPr>
                    <w:t xml:space="preserve"> ska genomgås på fyra läsår.</w:t>
                  </w:r>
                  <w:r>
                    <w:rPr>
                      <w:rFonts w:eastAsia="Times New Roman"/>
                      <w:color w:val="000000"/>
                      <w:spacing w:val="-1"/>
                      <w:sz w:val="24"/>
                      <w:lang w:val="sv-SE"/>
                    </w:rPr>
                    <w:t xml:space="preserve"> Även här kan dock huvudmannen besluta om att utbildningen ska fördelas</w:t>
                  </w:r>
                </w:p>
                <w:p w14:paraId="33080623" w14:textId="77777777" w:rsidR="003D63F7" w:rsidRDefault="00B40764">
                  <w:pPr>
                    <w:spacing w:before="130" w:line="274" w:lineRule="exact"/>
                    <w:textAlignment w:val="baseline"/>
                    <w:rPr>
                      <w:rFonts w:eastAsia="Times New Roman"/>
                      <w:b/>
                      <w:color w:val="000000"/>
                      <w:sz w:val="24"/>
                      <w:lang w:val="sv-SE"/>
                    </w:rPr>
                  </w:pPr>
                  <w:r>
                    <w:rPr>
                      <w:rFonts w:eastAsia="Times New Roman"/>
                      <w:b/>
                      <w:color w:val="000000"/>
                      <w:sz w:val="24"/>
                      <w:lang w:val="sv-SE"/>
                    </w:rPr>
                    <w:t>Förlängd undervisning</w:t>
                  </w:r>
                </w:p>
                <w:p w14:paraId="55E03E80" w14:textId="6C89BE55" w:rsidR="003D63F7" w:rsidRDefault="00B40764">
                  <w:pPr>
                    <w:numPr>
                      <w:ilvl w:val="0"/>
                      <w:numId w:val="1"/>
                    </w:numPr>
                    <w:tabs>
                      <w:tab w:val="clear" w:pos="360"/>
                      <w:tab w:val="left" w:pos="792"/>
                    </w:tabs>
                    <w:spacing w:before="11" w:line="276" w:lineRule="exact"/>
                    <w:ind w:left="792" w:right="144" w:hanging="360"/>
                    <w:textAlignment w:val="baseline"/>
                    <w:rPr>
                      <w:rFonts w:eastAsia="Times New Roman"/>
                      <w:color w:val="000000"/>
                      <w:sz w:val="24"/>
                      <w:lang w:val="sv-SE"/>
                    </w:rPr>
                  </w:pPr>
                  <w:r>
                    <w:rPr>
                      <w:rFonts w:eastAsia="Times New Roman"/>
                      <w:color w:val="000000"/>
                      <w:sz w:val="24"/>
                      <w:lang w:val="sv-SE"/>
                    </w:rPr>
                    <w:t>Studier på nationella program inom gymnasieskolan förlagda på längre än tre läsår. Det omfattar även elever som erbjuds att gå om e</w:t>
                  </w:r>
                  <w:r w:rsidR="0080275D">
                    <w:rPr>
                      <w:rFonts w:eastAsia="Times New Roman"/>
                      <w:color w:val="000000"/>
                      <w:sz w:val="24"/>
                      <w:lang w:val="sv-SE"/>
                    </w:rPr>
                    <w:t>tt</w:t>
                  </w:r>
                  <w:r>
                    <w:rPr>
                      <w:rFonts w:eastAsia="Times New Roman"/>
                      <w:color w:val="000000"/>
                      <w:sz w:val="24"/>
                      <w:lang w:val="sv-SE"/>
                    </w:rPr>
                    <w:t xml:space="preserve"> </w:t>
                  </w:r>
                  <w:r w:rsidR="0080275D">
                    <w:rPr>
                      <w:rFonts w:eastAsia="Times New Roman"/>
                      <w:color w:val="000000"/>
                      <w:sz w:val="24"/>
                      <w:lang w:val="sv-SE"/>
                    </w:rPr>
                    <w:t>läsår</w:t>
                  </w:r>
                  <w:r>
                    <w:rPr>
                      <w:rFonts w:eastAsia="Times New Roman"/>
                      <w:color w:val="000000"/>
                      <w:sz w:val="24"/>
                      <w:lang w:val="sv-SE"/>
                    </w:rPr>
                    <w:t xml:space="preserve"> inom samma program och inriktning.</w:t>
                  </w:r>
                </w:p>
                <w:p w14:paraId="16CA852A" w14:textId="77777777" w:rsidR="003D63F7" w:rsidRDefault="00B40764">
                  <w:pPr>
                    <w:numPr>
                      <w:ilvl w:val="0"/>
                      <w:numId w:val="1"/>
                    </w:numPr>
                    <w:tabs>
                      <w:tab w:val="clear" w:pos="360"/>
                      <w:tab w:val="left" w:pos="792"/>
                    </w:tabs>
                    <w:spacing w:before="19" w:line="274" w:lineRule="exact"/>
                    <w:ind w:left="792" w:right="864" w:hanging="360"/>
                    <w:textAlignment w:val="baseline"/>
                    <w:rPr>
                      <w:rFonts w:eastAsia="Times New Roman"/>
                      <w:color w:val="000000"/>
                      <w:sz w:val="24"/>
                      <w:lang w:val="sv-SE"/>
                    </w:rPr>
                  </w:pPr>
                  <w:r>
                    <w:rPr>
                      <w:rFonts w:eastAsia="Times New Roman"/>
                      <w:color w:val="000000"/>
                      <w:sz w:val="24"/>
                      <w:lang w:val="sv-SE"/>
                    </w:rPr>
                    <w:t>Studier på introduktionsprogram förlagda på längre tid än vad som beslutats i plan för utbildningarna på introduktionsprogram.</w:t>
                  </w:r>
                </w:p>
                <w:p w14:paraId="72635128" w14:textId="101D6FC4" w:rsidR="003D63F7" w:rsidRDefault="00B40764">
                  <w:pPr>
                    <w:numPr>
                      <w:ilvl w:val="0"/>
                      <w:numId w:val="1"/>
                    </w:numPr>
                    <w:tabs>
                      <w:tab w:val="clear" w:pos="360"/>
                      <w:tab w:val="left" w:pos="792"/>
                    </w:tabs>
                    <w:spacing w:before="15" w:line="278" w:lineRule="exact"/>
                    <w:ind w:left="792" w:right="720" w:hanging="360"/>
                    <w:textAlignment w:val="baseline"/>
                    <w:rPr>
                      <w:rFonts w:eastAsia="Times New Roman"/>
                      <w:color w:val="000000"/>
                      <w:sz w:val="24"/>
                      <w:lang w:val="sv-SE"/>
                    </w:rPr>
                  </w:pPr>
                  <w:r>
                    <w:rPr>
                      <w:rFonts w:eastAsia="Times New Roman"/>
                      <w:color w:val="000000"/>
                      <w:sz w:val="24"/>
                      <w:lang w:val="sv-SE"/>
                    </w:rPr>
                    <w:t xml:space="preserve">Studier på </w:t>
                  </w:r>
                  <w:r w:rsidR="00164253">
                    <w:rPr>
                      <w:rFonts w:eastAsia="Times New Roman"/>
                      <w:color w:val="000000"/>
                      <w:sz w:val="24"/>
                      <w:lang w:val="sv-SE"/>
                    </w:rPr>
                    <w:t>anpassad gymnasieskola</w:t>
                  </w:r>
                  <w:r>
                    <w:rPr>
                      <w:rFonts w:eastAsia="Times New Roman"/>
                      <w:color w:val="000000"/>
                      <w:sz w:val="24"/>
                      <w:lang w:val="sv-SE"/>
                    </w:rPr>
                    <w:t xml:space="preserve"> förl</w:t>
                  </w:r>
                  <w:r w:rsidR="00164253">
                    <w:rPr>
                      <w:rFonts w:eastAsia="Times New Roman"/>
                      <w:color w:val="000000"/>
                      <w:sz w:val="24"/>
                      <w:lang w:val="sv-SE"/>
                    </w:rPr>
                    <w:t>agda</w:t>
                  </w:r>
                  <w:r>
                    <w:rPr>
                      <w:rFonts w:eastAsia="Times New Roman"/>
                      <w:color w:val="000000"/>
                      <w:sz w:val="24"/>
                      <w:lang w:val="sv-SE"/>
                    </w:rPr>
                    <w:t xml:space="preserve"> på längre än fyra läsår. Det omfattar även elever som erbjuds att gå om e</w:t>
                  </w:r>
                  <w:r w:rsidR="0080275D">
                    <w:rPr>
                      <w:rFonts w:eastAsia="Times New Roman"/>
                      <w:color w:val="000000"/>
                      <w:sz w:val="24"/>
                      <w:lang w:val="sv-SE"/>
                    </w:rPr>
                    <w:t>tt läsår</w:t>
                  </w:r>
                  <w:r>
                    <w:rPr>
                      <w:rFonts w:eastAsia="Times New Roman"/>
                      <w:color w:val="000000"/>
                      <w:sz w:val="24"/>
                      <w:lang w:val="sv-SE"/>
                    </w:rPr>
                    <w:t xml:space="preserve"> inom samma program och inriktning.</w:t>
                  </w:r>
                </w:p>
                <w:p w14:paraId="672D4E82" w14:textId="77777777" w:rsidR="003D63F7" w:rsidRDefault="00B40764">
                  <w:pPr>
                    <w:spacing w:before="173" w:line="317" w:lineRule="exact"/>
                    <w:ind w:right="648"/>
                    <w:textAlignment w:val="baseline"/>
                    <w:rPr>
                      <w:rFonts w:ascii="Calibri" w:eastAsia="Calibri" w:hAnsi="Calibri"/>
                      <w:b/>
                      <w:color w:val="000000"/>
                      <w:sz w:val="26"/>
                      <w:lang w:val="sv-SE"/>
                    </w:rPr>
                  </w:pPr>
                  <w:r>
                    <w:rPr>
                      <w:rFonts w:ascii="Calibri" w:eastAsia="Calibri" w:hAnsi="Calibri"/>
                      <w:b/>
                      <w:color w:val="000000"/>
                      <w:sz w:val="26"/>
                      <w:lang w:val="sv-SE"/>
                    </w:rPr>
                    <w:t>Förutsättningar för att Huddinge kommun ska ersätta kostnader för förlängd studietid</w:t>
                  </w:r>
                </w:p>
                <w:p w14:paraId="5029CF7B" w14:textId="1E2D0E24" w:rsidR="003D63F7" w:rsidRDefault="00B40764">
                  <w:pPr>
                    <w:spacing w:before="28" w:line="275" w:lineRule="exact"/>
                    <w:ind w:right="72"/>
                    <w:jc w:val="both"/>
                    <w:textAlignment w:val="baseline"/>
                    <w:rPr>
                      <w:rFonts w:eastAsia="Times New Roman"/>
                      <w:color w:val="000000"/>
                      <w:sz w:val="24"/>
                      <w:lang w:val="sv-SE"/>
                    </w:rPr>
                  </w:pPr>
                  <w:r>
                    <w:rPr>
                      <w:rFonts w:eastAsia="Times New Roman"/>
                      <w:color w:val="000000"/>
                      <w:sz w:val="24"/>
                      <w:lang w:val="sv-SE"/>
                    </w:rPr>
                    <w:t xml:space="preserve">Huddinge kommun utgår från likabehandlingsprincipen och ersätter fristående skolor och kommunala skolor </w:t>
                  </w:r>
                  <w:r w:rsidR="0080275D">
                    <w:rPr>
                      <w:rFonts w:eastAsia="Times New Roman"/>
                      <w:color w:val="000000"/>
                      <w:sz w:val="24"/>
                      <w:lang w:val="sv-SE"/>
                    </w:rPr>
                    <w:t>enligt</w:t>
                  </w:r>
                  <w:r>
                    <w:rPr>
                      <w:rFonts w:eastAsia="Times New Roman"/>
                      <w:color w:val="000000"/>
                      <w:sz w:val="24"/>
                      <w:lang w:val="sv-SE"/>
                    </w:rPr>
                    <w:t xml:space="preserve"> </w:t>
                  </w:r>
                  <w:r w:rsidR="0080275D">
                    <w:rPr>
                      <w:rFonts w:eastAsia="Times New Roman"/>
                      <w:color w:val="000000"/>
                      <w:sz w:val="24"/>
                      <w:lang w:val="sv-SE"/>
                    </w:rPr>
                    <w:t>samma</w:t>
                  </w:r>
                  <w:r>
                    <w:rPr>
                      <w:rFonts w:eastAsia="Times New Roman"/>
                      <w:color w:val="000000"/>
                      <w:sz w:val="24"/>
                      <w:lang w:val="sv-SE"/>
                    </w:rPr>
                    <w:t xml:space="preserve"> pr</w:t>
                  </w:r>
                  <w:r w:rsidR="0080275D">
                    <w:rPr>
                      <w:rFonts w:eastAsia="Times New Roman"/>
                      <w:color w:val="000000"/>
                      <w:sz w:val="24"/>
                      <w:lang w:val="sv-SE"/>
                    </w:rPr>
                    <w:t>inciper</w:t>
                  </w:r>
                  <w:r>
                    <w:rPr>
                      <w:rFonts w:eastAsia="Times New Roman"/>
                      <w:color w:val="000000"/>
                      <w:sz w:val="24"/>
                      <w:lang w:val="sv-SE"/>
                    </w:rPr>
                    <w:t xml:space="preserve">. </w:t>
                  </w:r>
                  <w:r w:rsidR="0080275D">
                    <w:rPr>
                      <w:rFonts w:eastAsia="Times New Roman"/>
                      <w:color w:val="000000"/>
                      <w:sz w:val="24"/>
                      <w:lang w:val="sv-SE"/>
                    </w:rPr>
                    <w:t>Med dessa som bas</w:t>
                  </w:r>
                  <w:r>
                    <w:rPr>
                      <w:rFonts w:eastAsia="Times New Roman"/>
                      <w:color w:val="000000"/>
                      <w:sz w:val="24"/>
                      <w:lang w:val="sv-SE"/>
                    </w:rPr>
                    <w:t xml:space="preserve"> gör Huddinge kommun en individuell bedömning utifrån varje elevs förutsättningar med utgångspunkt i elevens bästa.</w:t>
                  </w:r>
                </w:p>
                <w:p w14:paraId="6F097DFE" w14:textId="77777777" w:rsidR="003D63F7" w:rsidRDefault="00B40764">
                  <w:pPr>
                    <w:spacing w:before="149" w:line="273" w:lineRule="exact"/>
                    <w:textAlignment w:val="baseline"/>
                    <w:rPr>
                      <w:rFonts w:eastAsia="Times New Roman"/>
                      <w:color w:val="000000"/>
                      <w:sz w:val="24"/>
                      <w:lang w:val="sv-SE"/>
                    </w:rPr>
                  </w:pPr>
                  <w:r>
                    <w:rPr>
                      <w:rFonts w:eastAsia="Times New Roman"/>
                      <w:color w:val="000000"/>
                      <w:sz w:val="24"/>
                      <w:lang w:val="sv-SE"/>
                    </w:rPr>
                    <w:t>Huddinge kommun ersätter förlängd studiegång om:</w:t>
                  </w:r>
                </w:p>
                <w:p w14:paraId="5A337115" w14:textId="77777777" w:rsidR="003D63F7" w:rsidRPr="0080275D" w:rsidRDefault="00B40764" w:rsidP="0080275D">
                  <w:pPr>
                    <w:pStyle w:val="Liststycke"/>
                    <w:numPr>
                      <w:ilvl w:val="0"/>
                      <w:numId w:val="2"/>
                    </w:numPr>
                    <w:tabs>
                      <w:tab w:val="left" w:pos="792"/>
                    </w:tabs>
                    <w:spacing w:before="15" w:line="278" w:lineRule="exact"/>
                    <w:ind w:right="360"/>
                    <w:textAlignment w:val="baseline"/>
                    <w:rPr>
                      <w:rFonts w:eastAsia="Times New Roman"/>
                      <w:color w:val="000000"/>
                      <w:sz w:val="24"/>
                      <w:lang w:val="sv-SE"/>
                    </w:rPr>
                  </w:pPr>
                  <w:r w:rsidRPr="0080275D">
                    <w:rPr>
                      <w:rFonts w:eastAsia="Times New Roman"/>
                      <w:color w:val="000000"/>
                      <w:sz w:val="24"/>
                      <w:lang w:val="sv-SE"/>
                    </w:rPr>
                    <w:t>Skolan har vidtagit de åtgärder som krävs enligt skollagen för att eleven ska uppnå fullständiga betyg inom ordinarie studietid, och</w:t>
                  </w:r>
                </w:p>
                <w:p w14:paraId="02861D8E" w14:textId="77777777" w:rsidR="003D63F7" w:rsidRPr="0080275D" w:rsidRDefault="00B40764" w:rsidP="0080275D">
                  <w:pPr>
                    <w:pStyle w:val="Liststycke"/>
                    <w:numPr>
                      <w:ilvl w:val="0"/>
                      <w:numId w:val="2"/>
                    </w:numPr>
                    <w:tabs>
                      <w:tab w:val="left" w:pos="792"/>
                    </w:tabs>
                    <w:spacing w:before="289" w:line="276" w:lineRule="exact"/>
                    <w:ind w:right="504"/>
                    <w:textAlignment w:val="baseline"/>
                    <w:rPr>
                      <w:rFonts w:eastAsia="Times New Roman"/>
                      <w:color w:val="000000"/>
                      <w:sz w:val="24"/>
                      <w:lang w:val="sv-SE"/>
                    </w:rPr>
                  </w:pPr>
                  <w:r w:rsidRPr="0080275D">
                    <w:rPr>
                      <w:rFonts w:eastAsia="Times New Roman"/>
                      <w:color w:val="000000"/>
                      <w:sz w:val="24"/>
                      <w:lang w:val="sv-SE"/>
                    </w:rPr>
                    <w:t>eleven har goda förutsättningar att uppnå fullständiga betyg under den förlängda studietiden, eller</w:t>
                  </w:r>
                </w:p>
                <w:p w14:paraId="147B0D19" w14:textId="05E1D033" w:rsidR="003D63F7" w:rsidRDefault="001C5325" w:rsidP="0080275D">
                  <w:pPr>
                    <w:numPr>
                      <w:ilvl w:val="0"/>
                      <w:numId w:val="2"/>
                    </w:numPr>
                    <w:tabs>
                      <w:tab w:val="left" w:pos="792"/>
                    </w:tabs>
                    <w:spacing w:before="20" w:line="273" w:lineRule="exact"/>
                    <w:ind w:right="936"/>
                    <w:textAlignment w:val="baseline"/>
                    <w:rPr>
                      <w:rFonts w:eastAsia="Times New Roman"/>
                      <w:color w:val="000000"/>
                      <w:sz w:val="24"/>
                      <w:lang w:val="sv-SE"/>
                    </w:rPr>
                  </w:pPr>
                  <w:r>
                    <w:rPr>
                      <w:rFonts w:eastAsia="Times New Roman"/>
                      <w:color w:val="000000"/>
                      <w:sz w:val="24"/>
                      <w:lang w:val="sv-SE"/>
                    </w:rPr>
                    <w:t xml:space="preserve">det är för </w:t>
                  </w:r>
                  <w:r w:rsidR="00B40764">
                    <w:rPr>
                      <w:rFonts w:eastAsia="Times New Roman"/>
                      <w:color w:val="000000"/>
                      <w:sz w:val="24"/>
                      <w:lang w:val="sv-SE"/>
                    </w:rPr>
                    <w:t>elevens bästa att få slutföra så många kurser som möjligt på sin ordinarie skola.</w:t>
                  </w:r>
                </w:p>
                <w:p w14:paraId="4FB2335A" w14:textId="77777777" w:rsidR="003D63F7" w:rsidRDefault="00B40764">
                  <w:pPr>
                    <w:spacing w:before="123" w:line="300" w:lineRule="exact"/>
                    <w:ind w:right="72"/>
                    <w:jc w:val="both"/>
                    <w:textAlignment w:val="baseline"/>
                    <w:rPr>
                      <w:rFonts w:eastAsia="Times New Roman"/>
                      <w:color w:val="000000"/>
                      <w:sz w:val="24"/>
                      <w:lang w:val="sv-SE"/>
                    </w:rPr>
                  </w:pPr>
                  <w:r>
                    <w:rPr>
                      <w:rFonts w:eastAsia="Times New Roman"/>
                      <w:color w:val="000000"/>
                      <w:sz w:val="24"/>
                      <w:lang w:val="sv-SE"/>
                    </w:rPr>
                    <w:t>Om en elev som inte har uppnått fullständiga betyg under ordinarie studiegång på grund av hög frånvaro behöver det framgå av underlagen att den förlängda undervisningen kommer att innebära att eleven är närvarande.</w:t>
                  </w:r>
                </w:p>
                <w:p w14:paraId="0268D12D" w14:textId="77777777" w:rsidR="003D63F7" w:rsidRDefault="00B40764">
                  <w:pPr>
                    <w:spacing w:before="114" w:line="303" w:lineRule="exact"/>
                    <w:ind w:right="72"/>
                    <w:jc w:val="both"/>
                    <w:textAlignment w:val="baseline"/>
                    <w:rPr>
                      <w:rFonts w:eastAsia="Times New Roman"/>
                      <w:color w:val="000000"/>
                      <w:sz w:val="24"/>
                      <w:lang w:val="sv-SE"/>
                    </w:rPr>
                  </w:pPr>
                  <w:r>
                    <w:rPr>
                      <w:rFonts w:eastAsia="Times New Roman"/>
                      <w:color w:val="000000"/>
                      <w:sz w:val="24"/>
                      <w:lang w:val="sv-SE"/>
                    </w:rPr>
                    <w:t>Ingen ersättning utgår om förlängningen beror på att eleven studerar utökat program.</w:t>
                  </w:r>
                </w:p>
                <w:p w14:paraId="0A2D57C9" w14:textId="2EBBA19D" w:rsidR="003D63F7" w:rsidRDefault="00343C3D">
                  <w:pPr>
                    <w:spacing w:before="120" w:line="268" w:lineRule="exact"/>
                    <w:jc w:val="both"/>
                    <w:textAlignment w:val="baseline"/>
                    <w:rPr>
                      <w:rFonts w:eastAsia="Times New Roman"/>
                      <w:color w:val="000000"/>
                      <w:spacing w:val="-1"/>
                      <w:sz w:val="24"/>
                      <w:lang w:val="sv-SE"/>
                    </w:rPr>
                  </w:pPr>
                  <w:r>
                    <w:rPr>
                      <w:rFonts w:eastAsia="Times New Roman"/>
                      <w:color w:val="000000"/>
                      <w:spacing w:val="-1"/>
                      <w:sz w:val="24"/>
                      <w:lang w:val="sv-SE"/>
                    </w:rPr>
                    <w:t>Ersättning kan som längst beviljas för ett ytterligare läsår.</w:t>
                  </w:r>
                </w:p>
              </w:txbxContent>
            </v:textbox>
            <w10:wrap type="square" anchorx="page" anchory="page"/>
          </v:shape>
        </w:pict>
      </w:r>
      <w:r>
        <w:pict w14:anchorId="0D75B0AA">
          <v:shape id="_x0000_s1029" type="#_x0000_t202" style="position:absolute;margin-left:65.05pt;margin-top:28pt;width:492.15pt;height:58.85pt;z-index:-2516592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553"/>
                    <w:gridCol w:w="7290"/>
                  </w:tblGrid>
                  <w:tr w:rsidR="003D63F7" w14:paraId="3ECDCDC8" w14:textId="77777777">
                    <w:trPr>
                      <w:trHeight w:hRule="exact" w:val="745"/>
                    </w:trPr>
                    <w:tc>
                      <w:tcPr>
                        <w:tcW w:w="2553" w:type="dxa"/>
                      </w:tcPr>
                      <w:p w14:paraId="0D0A8578" w14:textId="77777777" w:rsidR="003D63F7" w:rsidRDefault="00B40764">
                        <w:pPr>
                          <w:spacing w:before="6" w:after="23"/>
                          <w:jc w:val="center"/>
                          <w:textAlignment w:val="baseline"/>
                        </w:pPr>
                        <w:r>
                          <w:rPr>
                            <w:noProof/>
                          </w:rPr>
                          <w:drawing>
                            <wp:inline distT="0" distB="0" distL="0" distR="0" wp14:anchorId="08BED94F" wp14:editId="1CA371E9">
                              <wp:extent cx="1621155" cy="45466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1621155" cy="454660"/>
                                      </a:xfrm>
                                      <a:prstGeom prst="rect">
                                        <a:avLst/>
                                      </a:prstGeom>
                                    </pic:spPr>
                                  </pic:pic>
                                </a:graphicData>
                              </a:graphic>
                            </wp:inline>
                          </w:drawing>
                        </w:r>
                      </w:p>
                    </w:tc>
                    <w:tc>
                      <w:tcPr>
                        <w:tcW w:w="7290" w:type="dxa"/>
                        <w:vAlign w:val="center"/>
                      </w:tcPr>
                      <w:p w14:paraId="67AEFA86" w14:textId="77777777" w:rsidR="003D63F7" w:rsidRDefault="00B40764">
                        <w:pPr>
                          <w:spacing w:before="266" w:after="274" w:line="196" w:lineRule="exact"/>
                          <w:jc w:val="right"/>
                          <w:textAlignment w:val="baseline"/>
                          <w:rPr>
                            <w:rFonts w:ascii="Calibri" w:eastAsia="Calibri" w:hAnsi="Calibri"/>
                            <w:color w:val="000000"/>
                            <w:sz w:val="19"/>
                            <w:lang w:val="sv-SE"/>
                          </w:rPr>
                        </w:pPr>
                        <w:r>
                          <w:rPr>
                            <w:rFonts w:ascii="Calibri" w:eastAsia="Calibri" w:hAnsi="Calibri"/>
                            <w:color w:val="000000"/>
                            <w:sz w:val="19"/>
                            <w:lang w:val="sv-SE"/>
                          </w:rPr>
                          <w:t>2 (3)</w:t>
                        </w:r>
                      </w:p>
                    </w:tc>
                  </w:tr>
                </w:tbl>
                <w:p w14:paraId="785C4918" w14:textId="77777777" w:rsidR="003D63F7" w:rsidRDefault="003D63F7">
                  <w:pPr>
                    <w:spacing w:after="412" w:line="20" w:lineRule="exact"/>
                  </w:pPr>
                </w:p>
              </w:txbxContent>
            </v:textbox>
            <w10:wrap type="square" anchorx="page" anchory="page"/>
          </v:shape>
        </w:pict>
      </w:r>
    </w:p>
    <w:p w14:paraId="5DB0F250" w14:textId="77777777" w:rsidR="003D63F7" w:rsidRDefault="003D63F7">
      <w:pPr>
        <w:sectPr w:rsidR="003D63F7">
          <w:pgSz w:w="11909" w:h="16838"/>
          <w:pgMar w:top="560" w:right="765" w:bottom="324" w:left="1301" w:header="720" w:footer="720" w:gutter="0"/>
          <w:cols w:space="720"/>
        </w:sectPr>
      </w:pPr>
    </w:p>
    <w:p w14:paraId="684CE04B" w14:textId="77777777" w:rsidR="003D63F7" w:rsidRDefault="00834401">
      <w:pPr>
        <w:textAlignment w:val="baseline"/>
        <w:rPr>
          <w:rFonts w:eastAsia="Times New Roman"/>
          <w:color w:val="000000"/>
          <w:sz w:val="24"/>
          <w:lang w:val="sv-SE"/>
        </w:rPr>
      </w:pPr>
      <w:r>
        <w:lastRenderedPageBreak/>
        <w:pict w14:anchorId="64EB5022">
          <v:shape id="_x0000_s1027" type="#_x0000_t202" style="position:absolute;margin-left:65.05pt;margin-top:28pt;width:492.15pt;height:64.25pt;z-index:-2516572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553"/>
                    <w:gridCol w:w="7290"/>
                  </w:tblGrid>
                  <w:tr w:rsidR="003D63F7" w14:paraId="7DFEB87A" w14:textId="77777777">
                    <w:trPr>
                      <w:trHeight w:hRule="exact" w:val="745"/>
                    </w:trPr>
                    <w:tc>
                      <w:tcPr>
                        <w:tcW w:w="2553" w:type="dxa"/>
                      </w:tcPr>
                      <w:p w14:paraId="3307FCD0" w14:textId="77777777" w:rsidR="003D63F7" w:rsidRDefault="00B40764">
                        <w:pPr>
                          <w:spacing w:before="6" w:after="23"/>
                          <w:jc w:val="center"/>
                          <w:textAlignment w:val="baseline"/>
                        </w:pPr>
                        <w:r>
                          <w:rPr>
                            <w:noProof/>
                          </w:rPr>
                          <w:drawing>
                            <wp:inline distT="0" distB="0" distL="0" distR="0" wp14:anchorId="4555B2B0" wp14:editId="03B4E8E0">
                              <wp:extent cx="1621155" cy="45466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7"/>
                                      <a:stretch>
                                        <a:fillRect/>
                                      </a:stretch>
                                    </pic:blipFill>
                                    <pic:spPr>
                                      <a:xfrm>
                                        <a:off x="0" y="0"/>
                                        <a:ext cx="1621155" cy="454660"/>
                                      </a:xfrm>
                                      <a:prstGeom prst="rect">
                                        <a:avLst/>
                                      </a:prstGeom>
                                    </pic:spPr>
                                  </pic:pic>
                                </a:graphicData>
                              </a:graphic>
                            </wp:inline>
                          </w:drawing>
                        </w:r>
                      </w:p>
                    </w:tc>
                    <w:tc>
                      <w:tcPr>
                        <w:tcW w:w="7290" w:type="dxa"/>
                        <w:vAlign w:val="center"/>
                      </w:tcPr>
                      <w:p w14:paraId="547A96F9" w14:textId="77777777" w:rsidR="003D63F7" w:rsidRDefault="00B40764">
                        <w:pPr>
                          <w:spacing w:before="266" w:after="274" w:line="196" w:lineRule="exact"/>
                          <w:jc w:val="right"/>
                          <w:textAlignment w:val="baseline"/>
                          <w:rPr>
                            <w:rFonts w:ascii="Calibri" w:eastAsia="Calibri" w:hAnsi="Calibri"/>
                            <w:color w:val="000000"/>
                            <w:sz w:val="19"/>
                            <w:lang w:val="sv-SE"/>
                          </w:rPr>
                        </w:pPr>
                        <w:r>
                          <w:rPr>
                            <w:rFonts w:ascii="Calibri" w:eastAsia="Calibri" w:hAnsi="Calibri"/>
                            <w:color w:val="000000"/>
                            <w:sz w:val="19"/>
                            <w:lang w:val="sv-SE"/>
                          </w:rPr>
                          <w:t>3 (3)</w:t>
                        </w:r>
                      </w:p>
                    </w:tc>
                  </w:tr>
                </w:tbl>
                <w:p w14:paraId="2FF82159" w14:textId="77777777" w:rsidR="003D63F7" w:rsidRDefault="003D63F7">
                  <w:pPr>
                    <w:spacing w:after="520" w:line="20" w:lineRule="exact"/>
                  </w:pPr>
                </w:p>
              </w:txbxContent>
            </v:textbox>
            <w10:wrap type="square" anchorx="page" anchory="page"/>
          </v:shape>
        </w:pict>
      </w:r>
      <w:r>
        <w:pict w14:anchorId="326E1B11">
          <v:shape id="_x0000_s1026" type="#_x0000_t202" style="position:absolute;margin-left:97.35pt;margin-top:92.25pt;width:401pt;height:631.75pt;z-index:-251656192;mso-wrap-distance-left:0;mso-wrap-distance-right:0;mso-position-horizontal-relative:page;mso-position-vertical-relative:page" filled="f" stroked="f">
            <v:textbox inset="0,0,0,0">
              <w:txbxContent>
                <w:p w14:paraId="4EAF509F" w14:textId="27C54481" w:rsidR="003D63F7" w:rsidRDefault="00B40764">
                  <w:pPr>
                    <w:spacing w:before="32" w:line="264" w:lineRule="exact"/>
                    <w:textAlignment w:val="baseline"/>
                    <w:rPr>
                      <w:rFonts w:ascii="Calibri" w:eastAsia="Calibri" w:hAnsi="Calibri"/>
                      <w:b/>
                      <w:color w:val="000000"/>
                      <w:sz w:val="26"/>
                      <w:lang w:val="sv-SE"/>
                    </w:rPr>
                  </w:pPr>
                  <w:r>
                    <w:rPr>
                      <w:rFonts w:ascii="Calibri" w:eastAsia="Calibri" w:hAnsi="Calibri"/>
                      <w:b/>
                      <w:color w:val="000000"/>
                      <w:sz w:val="26"/>
                      <w:lang w:val="sv-SE"/>
                    </w:rPr>
                    <w:t>Ansökan</w:t>
                  </w:r>
                </w:p>
                <w:p w14:paraId="36B4D43B" w14:textId="425D5A3A" w:rsidR="003D63F7" w:rsidRDefault="00B40764">
                  <w:pPr>
                    <w:spacing w:before="26" w:line="276" w:lineRule="exact"/>
                    <w:ind w:right="72"/>
                    <w:jc w:val="both"/>
                    <w:textAlignment w:val="baseline"/>
                    <w:rPr>
                      <w:rFonts w:eastAsia="Times New Roman"/>
                      <w:color w:val="000000"/>
                      <w:sz w:val="24"/>
                      <w:lang w:val="sv-SE"/>
                    </w:rPr>
                  </w:pPr>
                  <w:r>
                    <w:rPr>
                      <w:rFonts w:eastAsia="Times New Roman"/>
                      <w:color w:val="000000"/>
                      <w:sz w:val="24"/>
                      <w:lang w:val="sv-SE"/>
                    </w:rPr>
                    <w:t>Skol</w:t>
                  </w:r>
                  <w:r w:rsidR="00915634">
                    <w:rPr>
                      <w:rFonts w:eastAsia="Times New Roman"/>
                      <w:color w:val="000000"/>
                      <w:sz w:val="24"/>
                      <w:lang w:val="sv-SE"/>
                    </w:rPr>
                    <w:t>an</w:t>
                  </w:r>
                  <w:r>
                    <w:rPr>
                      <w:rFonts w:eastAsia="Times New Roman"/>
                      <w:color w:val="000000"/>
                      <w:sz w:val="24"/>
                      <w:lang w:val="sv-SE"/>
                    </w:rPr>
                    <w:t xml:space="preserve"> kan ansöka om ersättning för förlängd studiegång hos Huddinge kommun.</w:t>
                  </w:r>
                </w:p>
                <w:p w14:paraId="523EA78F" w14:textId="6F79FCDC" w:rsidR="003D63F7" w:rsidRDefault="00915634">
                  <w:pPr>
                    <w:spacing w:before="116" w:line="277" w:lineRule="exact"/>
                    <w:ind w:right="72"/>
                    <w:jc w:val="both"/>
                    <w:textAlignment w:val="baseline"/>
                    <w:rPr>
                      <w:rFonts w:eastAsia="Times New Roman"/>
                      <w:color w:val="000000"/>
                      <w:sz w:val="24"/>
                      <w:lang w:val="sv-SE"/>
                    </w:rPr>
                  </w:pPr>
                  <w:r>
                    <w:rPr>
                      <w:rFonts w:eastAsia="Times New Roman"/>
                      <w:color w:val="000000"/>
                      <w:sz w:val="24"/>
                      <w:lang w:val="sv-SE"/>
                    </w:rPr>
                    <w:t>Ersättning till skolan stoppas om</w:t>
                  </w:r>
                  <w:r w:rsidR="00B40764">
                    <w:rPr>
                      <w:rFonts w:eastAsia="Times New Roman"/>
                      <w:color w:val="000000"/>
                      <w:sz w:val="24"/>
                      <w:lang w:val="sv-SE"/>
                    </w:rPr>
                    <w:t xml:space="preserve"> Huddinge kommun uppmärksammar att en elev</w:t>
                  </w:r>
                  <w:r>
                    <w:rPr>
                      <w:rFonts w:eastAsia="Times New Roman"/>
                      <w:color w:val="000000"/>
                      <w:sz w:val="24"/>
                      <w:lang w:val="sv-SE"/>
                    </w:rPr>
                    <w:t xml:space="preserve"> vars utbildning borde vara avslutad</w:t>
                  </w:r>
                  <w:r w:rsidR="00B40764">
                    <w:rPr>
                      <w:rFonts w:eastAsia="Times New Roman"/>
                      <w:color w:val="000000"/>
                      <w:sz w:val="24"/>
                      <w:lang w:val="sv-SE"/>
                    </w:rPr>
                    <w:t xml:space="preserve"> </w:t>
                  </w:r>
                  <w:r>
                    <w:rPr>
                      <w:rFonts w:eastAsia="Times New Roman"/>
                      <w:color w:val="000000"/>
                      <w:sz w:val="24"/>
                      <w:lang w:val="sv-SE"/>
                    </w:rPr>
                    <w:t>är inskriven för ett ytterligare läsår på samma utbildning, utan att ersättning för förlängd studietid beviljats</w:t>
                  </w:r>
                  <w:r w:rsidR="00B40764">
                    <w:rPr>
                      <w:rFonts w:eastAsia="Times New Roman"/>
                      <w:color w:val="000000"/>
                      <w:sz w:val="24"/>
                      <w:lang w:val="sv-SE"/>
                    </w:rPr>
                    <w:t>.</w:t>
                  </w:r>
                  <w:r w:rsidR="001C5325">
                    <w:rPr>
                      <w:rFonts w:eastAsia="Times New Roman"/>
                      <w:color w:val="000000"/>
                      <w:sz w:val="24"/>
                      <w:lang w:val="sv-SE"/>
                    </w:rPr>
                    <w:t xml:space="preserve"> Om ersättning beviljas, betalas den även retroaktivt.</w:t>
                  </w:r>
                </w:p>
                <w:p w14:paraId="48AF07C5" w14:textId="07BF355C" w:rsidR="003D63F7" w:rsidRDefault="00B40764">
                  <w:pPr>
                    <w:spacing w:before="117" w:line="274" w:lineRule="exact"/>
                    <w:ind w:right="72"/>
                    <w:jc w:val="both"/>
                    <w:textAlignment w:val="baseline"/>
                    <w:rPr>
                      <w:rFonts w:eastAsia="Times New Roman"/>
                      <w:color w:val="000000"/>
                      <w:spacing w:val="-3"/>
                      <w:sz w:val="24"/>
                      <w:lang w:val="sv-SE"/>
                    </w:rPr>
                  </w:pPr>
                  <w:r>
                    <w:rPr>
                      <w:rFonts w:eastAsia="Times New Roman"/>
                      <w:color w:val="000000"/>
                      <w:spacing w:val="-3"/>
                      <w:sz w:val="24"/>
                      <w:lang w:val="sv-SE"/>
                    </w:rPr>
                    <w:t>I ansökan ska skol</w:t>
                  </w:r>
                  <w:r w:rsidR="00915634">
                    <w:rPr>
                      <w:rFonts w:eastAsia="Times New Roman"/>
                      <w:color w:val="000000"/>
                      <w:spacing w:val="-3"/>
                      <w:sz w:val="24"/>
                      <w:lang w:val="sv-SE"/>
                    </w:rPr>
                    <w:t>an</w:t>
                  </w:r>
                  <w:r>
                    <w:rPr>
                      <w:rFonts w:eastAsia="Times New Roman"/>
                      <w:color w:val="000000"/>
                      <w:spacing w:val="-3"/>
                      <w:sz w:val="24"/>
                      <w:lang w:val="sv-SE"/>
                    </w:rPr>
                    <w:t xml:space="preserve"> redovisa vilka åtgärder som har genomförts för att eleven ska nå fullständiga betyg under tre läsår </w:t>
                  </w:r>
                  <w:r w:rsidR="001C5325">
                    <w:rPr>
                      <w:rFonts w:eastAsia="Times New Roman"/>
                      <w:color w:val="000000"/>
                      <w:spacing w:val="-3"/>
                      <w:sz w:val="24"/>
                      <w:lang w:val="sv-SE"/>
                    </w:rPr>
                    <w:t>och ge</w:t>
                  </w:r>
                  <w:r>
                    <w:rPr>
                      <w:rFonts w:eastAsia="Times New Roman"/>
                      <w:color w:val="000000"/>
                      <w:spacing w:val="-3"/>
                      <w:sz w:val="24"/>
                      <w:lang w:val="sv-SE"/>
                    </w:rPr>
                    <w:t xml:space="preserve"> en förklaring till varför det inte har lyckats. </w:t>
                  </w:r>
                  <w:r w:rsidR="00343C3D">
                    <w:rPr>
                      <w:rFonts w:eastAsia="Times New Roman"/>
                      <w:color w:val="000000"/>
                      <w:spacing w:val="-3"/>
                      <w:sz w:val="24"/>
                      <w:lang w:val="sv-SE"/>
                    </w:rPr>
                    <w:t>A</w:t>
                  </w:r>
                  <w:r>
                    <w:rPr>
                      <w:rFonts w:eastAsia="Times New Roman"/>
                      <w:color w:val="000000"/>
                      <w:spacing w:val="-3"/>
                      <w:sz w:val="24"/>
                      <w:lang w:val="sv-SE"/>
                    </w:rPr>
                    <w:t xml:space="preserve">nsökan </w:t>
                  </w:r>
                  <w:r w:rsidR="00343C3D">
                    <w:rPr>
                      <w:rFonts w:eastAsia="Times New Roman"/>
                      <w:color w:val="000000"/>
                      <w:spacing w:val="-3"/>
                      <w:sz w:val="24"/>
                      <w:lang w:val="sv-SE"/>
                    </w:rPr>
                    <w:t>ska innehålla</w:t>
                  </w:r>
                  <w:r>
                    <w:rPr>
                      <w:rFonts w:eastAsia="Times New Roman"/>
                      <w:color w:val="000000"/>
                      <w:spacing w:val="-3"/>
                      <w:sz w:val="24"/>
                      <w:lang w:val="sv-SE"/>
                    </w:rPr>
                    <w:t>:</w:t>
                  </w:r>
                </w:p>
                <w:p w14:paraId="7DC9DCD7" w14:textId="7776EC40" w:rsidR="003D63F7" w:rsidRDefault="008C346E" w:rsidP="001C5325">
                  <w:pPr>
                    <w:pStyle w:val="Liststycke"/>
                    <w:numPr>
                      <w:ilvl w:val="0"/>
                      <w:numId w:val="3"/>
                    </w:numPr>
                    <w:tabs>
                      <w:tab w:val="left" w:pos="792"/>
                    </w:tabs>
                    <w:spacing w:line="293" w:lineRule="exact"/>
                    <w:textAlignment w:val="baseline"/>
                    <w:rPr>
                      <w:rFonts w:eastAsia="Times New Roman"/>
                      <w:color w:val="000000"/>
                      <w:spacing w:val="-1"/>
                      <w:sz w:val="24"/>
                      <w:lang w:val="sv-SE"/>
                    </w:rPr>
                  </w:pPr>
                  <w:r>
                    <w:rPr>
                      <w:rFonts w:eastAsia="Times New Roman"/>
                      <w:color w:val="000000"/>
                      <w:spacing w:val="-1"/>
                      <w:sz w:val="24"/>
                      <w:lang w:val="sv-SE"/>
                    </w:rPr>
                    <w:t>beslut om förlängd studiegång</w:t>
                  </w:r>
                </w:p>
                <w:p w14:paraId="1570A09A" w14:textId="223E8E4C" w:rsidR="008C346E" w:rsidRPr="001C5325" w:rsidRDefault="008C346E" w:rsidP="001C5325">
                  <w:pPr>
                    <w:pStyle w:val="Liststycke"/>
                    <w:numPr>
                      <w:ilvl w:val="0"/>
                      <w:numId w:val="3"/>
                    </w:numPr>
                    <w:tabs>
                      <w:tab w:val="left" w:pos="792"/>
                    </w:tabs>
                    <w:spacing w:line="293" w:lineRule="exact"/>
                    <w:textAlignment w:val="baseline"/>
                    <w:rPr>
                      <w:rFonts w:eastAsia="Times New Roman"/>
                      <w:color w:val="000000"/>
                      <w:spacing w:val="-1"/>
                      <w:sz w:val="24"/>
                      <w:lang w:val="sv-SE"/>
                    </w:rPr>
                  </w:pPr>
                  <w:r>
                    <w:rPr>
                      <w:rFonts w:eastAsia="Times New Roman"/>
                      <w:color w:val="000000"/>
                      <w:spacing w:val="-1"/>
                      <w:sz w:val="24"/>
                      <w:lang w:val="sv-SE"/>
                    </w:rPr>
                    <w:t xml:space="preserve">redogörelse för elevens tidigare studiegång, behov av förlängd undervisning och förutsättningar att bli klar med utbildningen </w:t>
                  </w:r>
                </w:p>
                <w:p w14:paraId="1F3B8266" w14:textId="2BF37F96" w:rsidR="003D63F7" w:rsidRPr="001C5325" w:rsidRDefault="00B40764" w:rsidP="001C5325">
                  <w:pPr>
                    <w:pStyle w:val="Liststycke"/>
                    <w:numPr>
                      <w:ilvl w:val="0"/>
                      <w:numId w:val="3"/>
                    </w:numPr>
                    <w:tabs>
                      <w:tab w:val="left" w:pos="792"/>
                    </w:tabs>
                    <w:spacing w:line="293" w:lineRule="exact"/>
                    <w:textAlignment w:val="baseline"/>
                    <w:rPr>
                      <w:rFonts w:eastAsia="Times New Roman"/>
                      <w:color w:val="000000"/>
                      <w:spacing w:val="-1"/>
                      <w:sz w:val="24"/>
                      <w:lang w:val="sv-SE"/>
                    </w:rPr>
                  </w:pPr>
                  <w:r w:rsidRPr="001C5325">
                    <w:rPr>
                      <w:rFonts w:eastAsia="Times New Roman"/>
                      <w:color w:val="000000"/>
                      <w:spacing w:val="-1"/>
                      <w:sz w:val="24"/>
                      <w:lang w:val="sv-SE"/>
                    </w:rPr>
                    <w:t>åtgärdsprogram,</w:t>
                  </w:r>
                </w:p>
                <w:p w14:paraId="49063ACD" w14:textId="77777777" w:rsidR="003D63F7" w:rsidRPr="001C5325" w:rsidRDefault="00B40764" w:rsidP="001C5325">
                  <w:pPr>
                    <w:pStyle w:val="Liststycke"/>
                    <w:numPr>
                      <w:ilvl w:val="0"/>
                      <w:numId w:val="3"/>
                    </w:numPr>
                    <w:tabs>
                      <w:tab w:val="left" w:pos="792"/>
                    </w:tabs>
                    <w:spacing w:line="293" w:lineRule="exact"/>
                    <w:textAlignment w:val="baseline"/>
                    <w:rPr>
                      <w:rFonts w:eastAsia="Times New Roman"/>
                      <w:color w:val="000000"/>
                      <w:sz w:val="24"/>
                      <w:lang w:val="sv-SE"/>
                    </w:rPr>
                  </w:pPr>
                  <w:r w:rsidRPr="001C5325">
                    <w:rPr>
                      <w:rFonts w:eastAsia="Times New Roman"/>
                      <w:color w:val="000000"/>
                      <w:sz w:val="24"/>
                      <w:lang w:val="sv-SE"/>
                    </w:rPr>
                    <w:t>eventuellt tidigare beslut om reducerat program,</w:t>
                  </w:r>
                </w:p>
                <w:p w14:paraId="0F0AA9B6" w14:textId="45E759B9" w:rsidR="003D63F7" w:rsidRPr="001C5325" w:rsidRDefault="008C346E" w:rsidP="001C5325">
                  <w:pPr>
                    <w:pStyle w:val="Liststycke"/>
                    <w:numPr>
                      <w:ilvl w:val="0"/>
                      <w:numId w:val="3"/>
                    </w:numPr>
                    <w:tabs>
                      <w:tab w:val="left" w:pos="792"/>
                    </w:tabs>
                    <w:spacing w:line="296" w:lineRule="exact"/>
                    <w:textAlignment w:val="baseline"/>
                    <w:rPr>
                      <w:rFonts w:eastAsia="Times New Roman"/>
                      <w:color w:val="000000"/>
                      <w:spacing w:val="-1"/>
                      <w:sz w:val="24"/>
                      <w:lang w:val="sv-SE"/>
                    </w:rPr>
                  </w:pPr>
                  <w:r>
                    <w:rPr>
                      <w:rFonts w:eastAsia="Times New Roman"/>
                      <w:color w:val="000000"/>
                      <w:spacing w:val="-1"/>
                      <w:sz w:val="24"/>
                      <w:lang w:val="sv-SE"/>
                    </w:rPr>
                    <w:t>individuell studieplan</w:t>
                  </w:r>
                </w:p>
                <w:p w14:paraId="271D596D" w14:textId="4525444E" w:rsidR="003D63F7" w:rsidRDefault="00B40764">
                  <w:pPr>
                    <w:spacing w:before="3" w:line="276" w:lineRule="exact"/>
                    <w:ind w:right="72"/>
                    <w:jc w:val="both"/>
                    <w:textAlignment w:val="baseline"/>
                    <w:rPr>
                      <w:rFonts w:eastAsia="Times New Roman"/>
                      <w:color w:val="000000"/>
                      <w:sz w:val="24"/>
                      <w:lang w:val="sv-SE"/>
                    </w:rPr>
                  </w:pPr>
                  <w:r>
                    <w:rPr>
                      <w:rFonts w:eastAsia="Times New Roman"/>
                      <w:color w:val="000000"/>
                      <w:sz w:val="24"/>
                      <w:lang w:val="sv-SE"/>
                    </w:rPr>
                    <w:t>Om den förlängda studiegången beror på hög frånvaro s</w:t>
                  </w:r>
                  <w:r w:rsidR="001C5325">
                    <w:rPr>
                      <w:rFonts w:eastAsia="Times New Roman"/>
                      <w:color w:val="000000"/>
                      <w:sz w:val="24"/>
                      <w:lang w:val="sv-SE"/>
                    </w:rPr>
                    <w:t>ka a</w:t>
                  </w:r>
                  <w:r>
                    <w:rPr>
                      <w:rFonts w:eastAsia="Times New Roman"/>
                      <w:color w:val="000000"/>
                      <w:sz w:val="24"/>
                      <w:lang w:val="sv-SE"/>
                    </w:rPr>
                    <w:t>nsökan innehålla en redovisning</w:t>
                  </w:r>
                  <w:r w:rsidR="001C5325">
                    <w:rPr>
                      <w:rFonts w:eastAsia="Times New Roman"/>
                      <w:color w:val="000000"/>
                      <w:sz w:val="24"/>
                      <w:lang w:val="sv-SE"/>
                    </w:rPr>
                    <w:t xml:space="preserve"> av</w:t>
                  </w:r>
                  <w:r>
                    <w:rPr>
                      <w:rFonts w:eastAsia="Times New Roman"/>
                      <w:color w:val="000000"/>
                      <w:sz w:val="24"/>
                      <w:lang w:val="sv-SE"/>
                    </w:rPr>
                    <w:t xml:space="preserve"> vilka åtgärder som har vidtagits för att åtgärda frånvaron</w:t>
                  </w:r>
                  <w:r w:rsidR="001C5325">
                    <w:rPr>
                      <w:rFonts w:eastAsia="Times New Roman"/>
                      <w:color w:val="000000"/>
                      <w:sz w:val="24"/>
                      <w:lang w:val="sv-SE"/>
                    </w:rPr>
                    <w:t xml:space="preserve"> och skäl som gör det troligt</w:t>
                  </w:r>
                  <w:r>
                    <w:rPr>
                      <w:rFonts w:eastAsia="Times New Roman"/>
                      <w:color w:val="000000"/>
                      <w:sz w:val="24"/>
                      <w:lang w:val="sv-SE"/>
                    </w:rPr>
                    <w:t xml:space="preserve"> </w:t>
                  </w:r>
                  <w:r w:rsidR="001C5325">
                    <w:rPr>
                      <w:rFonts w:eastAsia="Times New Roman"/>
                      <w:color w:val="000000"/>
                      <w:sz w:val="24"/>
                      <w:lang w:val="sv-SE"/>
                    </w:rPr>
                    <w:t xml:space="preserve">att </w:t>
                  </w:r>
                  <w:r>
                    <w:rPr>
                      <w:rFonts w:eastAsia="Times New Roman"/>
                      <w:color w:val="000000"/>
                      <w:sz w:val="24"/>
                      <w:lang w:val="sv-SE"/>
                    </w:rPr>
                    <w:t>eleven kommer att närvara vid den förlängda studiegången.</w:t>
                  </w:r>
                </w:p>
                <w:p w14:paraId="2BFC67D1" w14:textId="54E5CD3A" w:rsidR="003D63F7" w:rsidRDefault="00B40764">
                  <w:pPr>
                    <w:spacing w:before="124" w:line="298" w:lineRule="exact"/>
                    <w:ind w:right="432"/>
                    <w:textAlignment w:val="baseline"/>
                    <w:rPr>
                      <w:rFonts w:eastAsia="Times New Roman"/>
                      <w:color w:val="000000"/>
                      <w:sz w:val="24"/>
                      <w:lang w:val="sv-SE"/>
                    </w:rPr>
                  </w:pPr>
                  <w:r>
                    <w:rPr>
                      <w:rFonts w:eastAsia="Times New Roman"/>
                      <w:color w:val="000000"/>
                      <w:sz w:val="24"/>
                      <w:lang w:val="sv-SE"/>
                    </w:rPr>
                    <w:t>Ansökan om</w:t>
                  </w:r>
                  <w:r w:rsidR="001C5325">
                    <w:rPr>
                      <w:rFonts w:eastAsia="Times New Roman"/>
                      <w:color w:val="000000"/>
                      <w:sz w:val="24"/>
                      <w:lang w:val="sv-SE"/>
                    </w:rPr>
                    <w:t xml:space="preserve"> ersättning för</w:t>
                  </w:r>
                  <w:r>
                    <w:rPr>
                      <w:rFonts w:eastAsia="Times New Roman"/>
                      <w:color w:val="000000"/>
                      <w:sz w:val="24"/>
                      <w:lang w:val="sv-SE"/>
                    </w:rPr>
                    <w:t xml:space="preserve"> förlängda studier</w:t>
                  </w:r>
                  <w:r w:rsidR="001C5325">
                    <w:rPr>
                      <w:rFonts w:eastAsia="Times New Roman"/>
                      <w:color w:val="000000"/>
                      <w:sz w:val="24"/>
                      <w:lang w:val="sv-SE"/>
                    </w:rPr>
                    <w:t xml:space="preserve"> bör inkomma </w:t>
                  </w:r>
                  <w:r>
                    <w:rPr>
                      <w:rFonts w:eastAsia="Times New Roman"/>
                      <w:color w:val="000000"/>
                      <w:sz w:val="24"/>
                      <w:lang w:val="sv-SE"/>
                    </w:rPr>
                    <w:t>under elevens sista</w:t>
                  </w:r>
                  <w:r w:rsidR="001C5325">
                    <w:rPr>
                      <w:rFonts w:eastAsia="Times New Roman"/>
                      <w:color w:val="000000"/>
                      <w:sz w:val="24"/>
                      <w:lang w:val="sv-SE"/>
                    </w:rPr>
                    <w:t xml:space="preserve"> ordinarie</w:t>
                  </w:r>
                  <w:r>
                    <w:rPr>
                      <w:rFonts w:eastAsia="Times New Roman"/>
                      <w:color w:val="000000"/>
                      <w:sz w:val="24"/>
                      <w:lang w:val="sv-SE"/>
                    </w:rPr>
                    <w:t xml:space="preserve"> läsår via kommunens e-tjänst.</w:t>
                  </w:r>
                </w:p>
                <w:p w14:paraId="0D277FC4" w14:textId="77777777" w:rsidR="003D63F7" w:rsidRDefault="00B40764">
                  <w:pPr>
                    <w:spacing w:before="226" w:line="264" w:lineRule="exact"/>
                    <w:textAlignment w:val="baseline"/>
                    <w:rPr>
                      <w:rFonts w:ascii="Calibri" w:eastAsia="Calibri" w:hAnsi="Calibri"/>
                      <w:b/>
                      <w:color w:val="000000"/>
                      <w:spacing w:val="-2"/>
                      <w:sz w:val="26"/>
                      <w:lang w:val="sv-SE"/>
                    </w:rPr>
                  </w:pPr>
                  <w:r>
                    <w:rPr>
                      <w:rFonts w:ascii="Calibri" w:eastAsia="Calibri" w:hAnsi="Calibri"/>
                      <w:b/>
                      <w:color w:val="000000"/>
                      <w:spacing w:val="-2"/>
                      <w:sz w:val="26"/>
                      <w:lang w:val="sv-SE"/>
                    </w:rPr>
                    <w:t>Ersättningen</w:t>
                  </w:r>
                </w:p>
                <w:p w14:paraId="15391F27" w14:textId="25F507DC" w:rsidR="003D63F7" w:rsidRDefault="008C346E" w:rsidP="008C346E">
                  <w:pPr>
                    <w:spacing w:before="53" w:line="273" w:lineRule="exact"/>
                    <w:textAlignment w:val="baseline"/>
                    <w:rPr>
                      <w:rFonts w:eastAsia="Times New Roman"/>
                      <w:color w:val="000000"/>
                      <w:sz w:val="24"/>
                      <w:lang w:val="sv-SE"/>
                    </w:rPr>
                  </w:pPr>
                  <w:r>
                    <w:rPr>
                      <w:rFonts w:eastAsia="Times New Roman"/>
                      <w:color w:val="000000"/>
                      <w:sz w:val="24"/>
                      <w:lang w:val="sv-SE"/>
                    </w:rPr>
                    <w:t>Beviljad ersättning betalas</w:t>
                  </w:r>
                  <w:r w:rsidR="0087715B">
                    <w:rPr>
                      <w:rFonts w:eastAsia="Times New Roman"/>
                      <w:color w:val="000000"/>
                      <w:sz w:val="24"/>
                      <w:lang w:val="sv-SE"/>
                    </w:rPr>
                    <w:t xml:space="preserve"> som ordinarie programpeng</w:t>
                  </w:r>
                  <w:r>
                    <w:rPr>
                      <w:rFonts w:eastAsia="Times New Roman"/>
                      <w:color w:val="000000"/>
                      <w:sz w:val="24"/>
                      <w:lang w:val="sv-SE"/>
                    </w:rPr>
                    <w:t xml:space="preserve"> via UEDB i enlighet med Huddinge kommuns prislistor.</w:t>
                  </w:r>
                  <w:r w:rsidR="0087715B">
                    <w:rPr>
                      <w:rFonts w:eastAsia="Times New Roman"/>
                      <w:color w:val="000000"/>
                      <w:sz w:val="24"/>
                      <w:lang w:val="sv-SE"/>
                    </w:rPr>
                    <w:t xml:space="preserve"> Det vanligaste är att en ansökan gäller och beviljas för ett läsår. </w:t>
                  </w:r>
                  <w:r w:rsidR="005B4EE5">
                    <w:rPr>
                      <w:rFonts w:eastAsia="Times New Roman"/>
                      <w:color w:val="000000"/>
                      <w:sz w:val="24"/>
                      <w:lang w:val="sv-SE"/>
                    </w:rPr>
                    <w:t>Ersättning för en ytterligare termin kan dock beviljas, o</w:t>
                  </w:r>
                  <w:r w:rsidR="0087715B">
                    <w:rPr>
                      <w:rFonts w:eastAsia="Times New Roman"/>
                      <w:color w:val="000000"/>
                      <w:sz w:val="24"/>
                      <w:lang w:val="sv-SE"/>
                    </w:rPr>
                    <w:t>m eleven har ett färre antal poäng kvar för att bli klar med utbildningen,</w:t>
                  </w:r>
                  <w:r w:rsidR="005B4EE5">
                    <w:rPr>
                      <w:rFonts w:eastAsia="Times New Roman"/>
                      <w:color w:val="000000"/>
                      <w:sz w:val="24"/>
                      <w:lang w:val="sv-SE"/>
                    </w:rPr>
                    <w:t xml:space="preserve"> motsvarande en termins studier</w:t>
                  </w:r>
                  <w:r w:rsidR="0087715B">
                    <w:rPr>
                      <w:rFonts w:eastAsia="Times New Roman"/>
                      <w:color w:val="000000"/>
                      <w:sz w:val="24"/>
                      <w:lang w:val="sv-SE"/>
                    </w:rPr>
                    <w:t>.</w:t>
                  </w:r>
                  <w:r w:rsidR="005B4EE5">
                    <w:rPr>
                      <w:rFonts w:eastAsia="Times New Roman"/>
                      <w:color w:val="000000"/>
                      <w:sz w:val="24"/>
                      <w:lang w:val="sv-SE"/>
                    </w:rPr>
                    <w:t xml:space="preserve"> Det gäller även om skolan förlägger den förlängda undervisningen under ett helt läsår, då eleven under denna tid inte kan anses vara heltidsstuderande.</w:t>
                  </w:r>
                  <w:r w:rsidR="0087715B">
                    <w:rPr>
                      <w:rFonts w:eastAsia="Times New Roman"/>
                      <w:color w:val="000000"/>
                      <w:sz w:val="24"/>
                      <w:lang w:val="sv-SE"/>
                    </w:rPr>
                    <w:t xml:space="preserve"> Om det återstår mindre än 200 poäng, bör ordinarie elevp</w:t>
                  </w:r>
                  <w:r w:rsidR="005B4EE5">
                    <w:rPr>
                      <w:rFonts w:eastAsia="Times New Roman"/>
                      <w:color w:val="000000"/>
                      <w:sz w:val="24"/>
                      <w:lang w:val="sv-SE"/>
                    </w:rPr>
                    <w:t>e</w:t>
                  </w:r>
                  <w:r w:rsidR="0087715B">
                    <w:rPr>
                      <w:rFonts w:eastAsia="Times New Roman"/>
                      <w:color w:val="000000"/>
                      <w:sz w:val="24"/>
                      <w:lang w:val="sv-SE"/>
                    </w:rPr>
                    <w:t>ng för programmet anses täcka även den förlängda studietiden oc</w:t>
                  </w:r>
                  <w:r w:rsidR="005B4EE5">
                    <w:rPr>
                      <w:rFonts w:eastAsia="Times New Roman"/>
                      <w:color w:val="000000"/>
                      <w:sz w:val="24"/>
                      <w:lang w:val="sv-SE"/>
                    </w:rPr>
                    <w:t xml:space="preserve">h ersättning för förlängd studietid således inte beviljas. Hänsyn ska dock tas till omständigheter i det enskilda ärendet.  </w:t>
                  </w:r>
                </w:p>
                <w:p w14:paraId="634B8D32" w14:textId="77777777" w:rsidR="005B4EE5" w:rsidRDefault="005B4EE5" w:rsidP="008C346E">
                  <w:pPr>
                    <w:spacing w:before="53" w:line="273" w:lineRule="exact"/>
                    <w:textAlignment w:val="baseline"/>
                    <w:rPr>
                      <w:rFonts w:eastAsia="Times New Roman"/>
                      <w:color w:val="000000"/>
                      <w:sz w:val="24"/>
                      <w:lang w:val="sv-SE"/>
                    </w:rPr>
                  </w:pPr>
                </w:p>
                <w:p w14:paraId="6A4FBDFA" w14:textId="25FF40B9" w:rsidR="005B4EE5" w:rsidRDefault="005B4EE5" w:rsidP="008C346E">
                  <w:pPr>
                    <w:spacing w:before="53" w:line="273" w:lineRule="exact"/>
                    <w:textAlignment w:val="baseline"/>
                    <w:rPr>
                      <w:rFonts w:eastAsia="Times New Roman"/>
                      <w:color w:val="000000"/>
                      <w:sz w:val="24"/>
                      <w:lang w:val="sv-SE"/>
                    </w:rPr>
                  </w:pPr>
                  <w:r>
                    <w:rPr>
                      <w:rFonts w:eastAsia="Times New Roman"/>
                      <w:color w:val="000000"/>
                      <w:sz w:val="24"/>
                      <w:lang w:val="sv-SE"/>
                    </w:rPr>
                    <w:t>Rutin uppdaterad: 2026-06-30</w:t>
                  </w:r>
                </w:p>
                <w:p w14:paraId="02C94D41" w14:textId="77777777" w:rsidR="005B4EE5" w:rsidRDefault="005B4EE5" w:rsidP="008C346E">
                  <w:pPr>
                    <w:spacing w:before="53" w:line="273" w:lineRule="exact"/>
                    <w:textAlignment w:val="baseline"/>
                    <w:rPr>
                      <w:rFonts w:eastAsia="Times New Roman"/>
                      <w:color w:val="000000"/>
                      <w:sz w:val="24"/>
                      <w:lang w:val="sv-SE"/>
                    </w:rPr>
                  </w:pPr>
                </w:p>
                <w:p w14:paraId="0A2B4BC8" w14:textId="27F293A8" w:rsidR="005B4EE5" w:rsidRDefault="005B4EE5" w:rsidP="008C346E">
                  <w:pPr>
                    <w:spacing w:before="53" w:line="273" w:lineRule="exact"/>
                    <w:textAlignment w:val="baseline"/>
                    <w:rPr>
                      <w:rFonts w:eastAsia="Times New Roman"/>
                      <w:color w:val="000000"/>
                      <w:sz w:val="24"/>
                      <w:lang w:val="sv-SE"/>
                    </w:rPr>
                  </w:pPr>
                  <w:r>
                    <w:rPr>
                      <w:rFonts w:eastAsia="Times New Roman"/>
                      <w:color w:val="000000"/>
                      <w:sz w:val="24"/>
                      <w:lang w:val="sv-SE"/>
                    </w:rPr>
                    <w:t>Rutinansvarig: Johan Argus</w:t>
                  </w:r>
                </w:p>
              </w:txbxContent>
            </v:textbox>
            <w10:wrap type="square" anchorx="page" anchory="page"/>
          </v:shape>
        </w:pict>
      </w:r>
    </w:p>
    <w:sectPr w:rsidR="003D63F7">
      <w:pgSz w:w="11909" w:h="16838"/>
      <w:pgMar w:top="560" w:right="765" w:bottom="324"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6966" w14:textId="77777777" w:rsidR="00834401" w:rsidRDefault="00834401">
      <w:r>
        <w:separator/>
      </w:r>
    </w:p>
  </w:endnote>
  <w:endnote w:type="continuationSeparator" w:id="0">
    <w:p w14:paraId="224FBB0E" w14:textId="77777777" w:rsidR="00834401" w:rsidRDefault="0083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AE00" w14:textId="77777777" w:rsidR="00834401" w:rsidRDefault="00834401"/>
  </w:footnote>
  <w:footnote w:type="continuationSeparator" w:id="0">
    <w:p w14:paraId="19490CD1" w14:textId="77777777" w:rsidR="00834401" w:rsidRDefault="00834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A0F"/>
    <w:multiLevelType w:val="hybridMultilevel"/>
    <w:tmpl w:val="16C610CC"/>
    <w:lvl w:ilvl="0" w:tplc="041D0001">
      <w:start w:val="1"/>
      <w:numFmt w:val="bullet"/>
      <w:lvlText w:val=""/>
      <w:lvlJc w:val="left"/>
      <w:pPr>
        <w:ind w:left="1152" w:hanging="360"/>
      </w:pPr>
      <w:rPr>
        <w:rFonts w:ascii="Symbol" w:hAnsi="Symbol" w:hint="default"/>
      </w:rPr>
    </w:lvl>
    <w:lvl w:ilvl="1" w:tplc="041D0003" w:tentative="1">
      <w:start w:val="1"/>
      <w:numFmt w:val="bullet"/>
      <w:lvlText w:val="o"/>
      <w:lvlJc w:val="left"/>
      <w:pPr>
        <w:ind w:left="1872" w:hanging="360"/>
      </w:pPr>
      <w:rPr>
        <w:rFonts w:ascii="Courier New" w:hAnsi="Courier New" w:cs="Courier New" w:hint="default"/>
      </w:rPr>
    </w:lvl>
    <w:lvl w:ilvl="2" w:tplc="041D0005" w:tentative="1">
      <w:start w:val="1"/>
      <w:numFmt w:val="bullet"/>
      <w:lvlText w:val=""/>
      <w:lvlJc w:val="left"/>
      <w:pPr>
        <w:ind w:left="2592" w:hanging="360"/>
      </w:pPr>
      <w:rPr>
        <w:rFonts w:ascii="Wingdings" w:hAnsi="Wingdings" w:hint="default"/>
      </w:rPr>
    </w:lvl>
    <w:lvl w:ilvl="3" w:tplc="041D0001" w:tentative="1">
      <w:start w:val="1"/>
      <w:numFmt w:val="bullet"/>
      <w:lvlText w:val=""/>
      <w:lvlJc w:val="left"/>
      <w:pPr>
        <w:ind w:left="3312" w:hanging="360"/>
      </w:pPr>
      <w:rPr>
        <w:rFonts w:ascii="Symbol" w:hAnsi="Symbol" w:hint="default"/>
      </w:rPr>
    </w:lvl>
    <w:lvl w:ilvl="4" w:tplc="041D0003" w:tentative="1">
      <w:start w:val="1"/>
      <w:numFmt w:val="bullet"/>
      <w:lvlText w:val="o"/>
      <w:lvlJc w:val="left"/>
      <w:pPr>
        <w:ind w:left="4032" w:hanging="360"/>
      </w:pPr>
      <w:rPr>
        <w:rFonts w:ascii="Courier New" w:hAnsi="Courier New" w:cs="Courier New" w:hint="default"/>
      </w:rPr>
    </w:lvl>
    <w:lvl w:ilvl="5" w:tplc="041D0005" w:tentative="1">
      <w:start w:val="1"/>
      <w:numFmt w:val="bullet"/>
      <w:lvlText w:val=""/>
      <w:lvlJc w:val="left"/>
      <w:pPr>
        <w:ind w:left="4752" w:hanging="360"/>
      </w:pPr>
      <w:rPr>
        <w:rFonts w:ascii="Wingdings" w:hAnsi="Wingdings" w:hint="default"/>
      </w:rPr>
    </w:lvl>
    <w:lvl w:ilvl="6" w:tplc="041D0001" w:tentative="1">
      <w:start w:val="1"/>
      <w:numFmt w:val="bullet"/>
      <w:lvlText w:val=""/>
      <w:lvlJc w:val="left"/>
      <w:pPr>
        <w:ind w:left="5472" w:hanging="360"/>
      </w:pPr>
      <w:rPr>
        <w:rFonts w:ascii="Symbol" w:hAnsi="Symbol" w:hint="default"/>
      </w:rPr>
    </w:lvl>
    <w:lvl w:ilvl="7" w:tplc="041D0003" w:tentative="1">
      <w:start w:val="1"/>
      <w:numFmt w:val="bullet"/>
      <w:lvlText w:val="o"/>
      <w:lvlJc w:val="left"/>
      <w:pPr>
        <w:ind w:left="6192" w:hanging="360"/>
      </w:pPr>
      <w:rPr>
        <w:rFonts w:ascii="Courier New" w:hAnsi="Courier New" w:cs="Courier New" w:hint="default"/>
      </w:rPr>
    </w:lvl>
    <w:lvl w:ilvl="8" w:tplc="041D0005" w:tentative="1">
      <w:start w:val="1"/>
      <w:numFmt w:val="bullet"/>
      <w:lvlText w:val=""/>
      <w:lvlJc w:val="left"/>
      <w:pPr>
        <w:ind w:left="6912" w:hanging="360"/>
      </w:pPr>
      <w:rPr>
        <w:rFonts w:ascii="Wingdings" w:hAnsi="Wingdings" w:hint="default"/>
      </w:rPr>
    </w:lvl>
  </w:abstractNum>
  <w:abstractNum w:abstractNumId="1" w15:restartNumberingAfterBreak="0">
    <w:nsid w:val="4A266279"/>
    <w:multiLevelType w:val="multilevel"/>
    <w:tmpl w:val="17FA4574"/>
    <w:lvl w:ilvl="0">
      <w:numFmt w:val="bullet"/>
      <w:lvlText w:val="·"/>
      <w:lvlJc w:val="left"/>
      <w:pPr>
        <w:tabs>
          <w:tab w:val="left" w:pos="360"/>
        </w:tabs>
      </w:pPr>
      <w:rPr>
        <w:rFonts w:ascii="Symbol" w:eastAsia="Symbol" w:hAnsi="Symbol"/>
        <w:color w:val="000000"/>
        <w:spacing w:val="-2"/>
        <w:w w:val="100"/>
        <w:sz w:val="24"/>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261004"/>
    <w:multiLevelType w:val="hybridMultilevel"/>
    <w:tmpl w:val="468E18E2"/>
    <w:lvl w:ilvl="0" w:tplc="041D0001">
      <w:start w:val="1"/>
      <w:numFmt w:val="bullet"/>
      <w:lvlText w:val=""/>
      <w:lvlJc w:val="left"/>
      <w:pPr>
        <w:ind w:left="1152" w:hanging="360"/>
      </w:pPr>
      <w:rPr>
        <w:rFonts w:ascii="Symbol" w:hAnsi="Symbol" w:hint="default"/>
      </w:rPr>
    </w:lvl>
    <w:lvl w:ilvl="1" w:tplc="041D0003" w:tentative="1">
      <w:start w:val="1"/>
      <w:numFmt w:val="bullet"/>
      <w:lvlText w:val="o"/>
      <w:lvlJc w:val="left"/>
      <w:pPr>
        <w:ind w:left="1872" w:hanging="360"/>
      </w:pPr>
      <w:rPr>
        <w:rFonts w:ascii="Courier New" w:hAnsi="Courier New" w:cs="Courier New" w:hint="default"/>
      </w:rPr>
    </w:lvl>
    <w:lvl w:ilvl="2" w:tplc="041D0005" w:tentative="1">
      <w:start w:val="1"/>
      <w:numFmt w:val="bullet"/>
      <w:lvlText w:val=""/>
      <w:lvlJc w:val="left"/>
      <w:pPr>
        <w:ind w:left="2592" w:hanging="360"/>
      </w:pPr>
      <w:rPr>
        <w:rFonts w:ascii="Wingdings" w:hAnsi="Wingdings" w:hint="default"/>
      </w:rPr>
    </w:lvl>
    <w:lvl w:ilvl="3" w:tplc="041D0001" w:tentative="1">
      <w:start w:val="1"/>
      <w:numFmt w:val="bullet"/>
      <w:lvlText w:val=""/>
      <w:lvlJc w:val="left"/>
      <w:pPr>
        <w:ind w:left="3312" w:hanging="360"/>
      </w:pPr>
      <w:rPr>
        <w:rFonts w:ascii="Symbol" w:hAnsi="Symbol" w:hint="default"/>
      </w:rPr>
    </w:lvl>
    <w:lvl w:ilvl="4" w:tplc="041D0003" w:tentative="1">
      <w:start w:val="1"/>
      <w:numFmt w:val="bullet"/>
      <w:lvlText w:val="o"/>
      <w:lvlJc w:val="left"/>
      <w:pPr>
        <w:ind w:left="4032" w:hanging="360"/>
      </w:pPr>
      <w:rPr>
        <w:rFonts w:ascii="Courier New" w:hAnsi="Courier New" w:cs="Courier New" w:hint="default"/>
      </w:rPr>
    </w:lvl>
    <w:lvl w:ilvl="5" w:tplc="041D0005" w:tentative="1">
      <w:start w:val="1"/>
      <w:numFmt w:val="bullet"/>
      <w:lvlText w:val=""/>
      <w:lvlJc w:val="left"/>
      <w:pPr>
        <w:ind w:left="4752" w:hanging="360"/>
      </w:pPr>
      <w:rPr>
        <w:rFonts w:ascii="Wingdings" w:hAnsi="Wingdings" w:hint="default"/>
      </w:rPr>
    </w:lvl>
    <w:lvl w:ilvl="6" w:tplc="041D0001" w:tentative="1">
      <w:start w:val="1"/>
      <w:numFmt w:val="bullet"/>
      <w:lvlText w:val=""/>
      <w:lvlJc w:val="left"/>
      <w:pPr>
        <w:ind w:left="5472" w:hanging="360"/>
      </w:pPr>
      <w:rPr>
        <w:rFonts w:ascii="Symbol" w:hAnsi="Symbol" w:hint="default"/>
      </w:rPr>
    </w:lvl>
    <w:lvl w:ilvl="7" w:tplc="041D0003" w:tentative="1">
      <w:start w:val="1"/>
      <w:numFmt w:val="bullet"/>
      <w:lvlText w:val="o"/>
      <w:lvlJc w:val="left"/>
      <w:pPr>
        <w:ind w:left="6192" w:hanging="360"/>
      </w:pPr>
      <w:rPr>
        <w:rFonts w:ascii="Courier New" w:hAnsi="Courier New" w:cs="Courier New" w:hint="default"/>
      </w:rPr>
    </w:lvl>
    <w:lvl w:ilvl="8" w:tplc="041D0005" w:tentative="1">
      <w:start w:val="1"/>
      <w:numFmt w:val="bullet"/>
      <w:lvlText w:val=""/>
      <w:lvlJc w:val="left"/>
      <w:pPr>
        <w:ind w:left="6912" w:hanging="360"/>
      </w:pPr>
      <w:rPr>
        <w:rFonts w:ascii="Wingdings" w:hAnsi="Wingdings" w:hint="default"/>
      </w:rPr>
    </w:lvl>
  </w:abstractNum>
  <w:num w:numId="1" w16cid:durableId="1764258444">
    <w:abstractNumId w:val="1"/>
  </w:num>
  <w:num w:numId="2" w16cid:durableId="1646200451">
    <w:abstractNumId w:val="2"/>
  </w:num>
  <w:num w:numId="3" w16cid:durableId="180801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F7"/>
    <w:rsid w:val="000B3F00"/>
    <w:rsid w:val="00123225"/>
    <w:rsid w:val="00164253"/>
    <w:rsid w:val="001C5325"/>
    <w:rsid w:val="00343C3D"/>
    <w:rsid w:val="003D63F7"/>
    <w:rsid w:val="00584972"/>
    <w:rsid w:val="005B4EE5"/>
    <w:rsid w:val="005E7F07"/>
    <w:rsid w:val="005F438E"/>
    <w:rsid w:val="0080275D"/>
    <w:rsid w:val="00834401"/>
    <w:rsid w:val="0087715B"/>
    <w:rsid w:val="008A11C4"/>
    <w:rsid w:val="008C346E"/>
    <w:rsid w:val="00915634"/>
    <w:rsid w:val="00A36096"/>
    <w:rsid w:val="00A91588"/>
    <w:rsid w:val="00B11A21"/>
    <w:rsid w:val="00B40764"/>
    <w:rsid w:val="00B941B0"/>
    <w:rsid w:val="00C03D79"/>
    <w:rsid w:val="00D8311E"/>
    <w:rsid w:val="00EB0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A326FAF"/>
  <w15:docId w15:val="{671159C4-3919-48AB-A8B8-B8066AF0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02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Words>
  <Characters>52</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Huddinge Kommun</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Argus, Johan</dc:creator>
  <cp:lastModifiedBy>Argus, Johan</cp:lastModifiedBy>
  <cp:revision>3</cp:revision>
  <dcterms:created xsi:type="dcterms:W3CDTF">2026-06-30T10:05:00Z</dcterms:created>
  <dcterms:modified xsi:type="dcterms:W3CDTF">2026-06-30T13:20:00Z</dcterms:modified>
</cp:coreProperties>
</file>